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820A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820A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820AC">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7904CB7" w14:textId="77777777" w:rsidR="00D820AC" w:rsidRDefault="00D820AC" w:rsidP="00D820AC">
      <w:pPr>
        <w:pStyle w:val="CETAuthors"/>
        <w:jc w:val="center"/>
        <w:rPr>
          <w:noProof w:val="0"/>
          <w:sz w:val="32"/>
        </w:rPr>
      </w:pPr>
      <w:r w:rsidRPr="00D820AC">
        <w:rPr>
          <w:noProof w:val="0"/>
          <w:sz w:val="32"/>
        </w:rPr>
        <w:t>Kinetics and Isotherms of a genetically engineered Saccharomyces cerevisiae EBY100 strain expressing palladium binding peptides for the biosorption of Pd (II) in a batch reactor</w:t>
      </w:r>
    </w:p>
    <w:p w14:paraId="0488FED2" w14:textId="713A1503" w:rsidR="00B57E6F" w:rsidRPr="00B57B36" w:rsidRDefault="00D820AC" w:rsidP="00B57E6F">
      <w:pPr>
        <w:pStyle w:val="CETAuthors"/>
      </w:pPr>
      <w:r w:rsidRPr="00D820AC">
        <w:t xml:space="preserve">Boitumelo </w:t>
      </w:r>
      <w:r>
        <w:t xml:space="preserve">F. </w:t>
      </w:r>
      <w:r w:rsidRPr="00D820AC">
        <w:t>Mashangoane</w:t>
      </w:r>
      <w:r w:rsidR="00B57E6F" w:rsidRPr="00B57B36">
        <w:rPr>
          <w:vertAlign w:val="superscript"/>
        </w:rPr>
        <w:t>a</w:t>
      </w:r>
      <w:r w:rsidR="008C5A55">
        <w:rPr>
          <w:vertAlign w:val="superscript"/>
        </w:rPr>
        <w:t>,</w:t>
      </w:r>
      <w:r w:rsidR="008C5A55" w:rsidRPr="008C5A55">
        <w:t xml:space="preserve"> </w:t>
      </w:r>
      <w:r w:rsidR="008C5A55" w:rsidRPr="00B57B36">
        <w:t>*</w:t>
      </w:r>
      <w:r w:rsidR="008C5A55">
        <w:rPr>
          <w:vertAlign w:val="superscript"/>
        </w:rPr>
        <w:t xml:space="preserve"> </w:t>
      </w:r>
      <w:r w:rsidR="00B57E6F" w:rsidRPr="00B57B36">
        <w:t xml:space="preserve">, </w:t>
      </w:r>
      <w:r>
        <w:t>Evans N. Chirwa</w:t>
      </w:r>
      <w:r>
        <w:rPr>
          <w:vertAlign w:val="superscript"/>
        </w:rPr>
        <w:t>a</w:t>
      </w:r>
      <w:r w:rsidR="008C5A55" w:rsidRPr="00B57B36">
        <w:t xml:space="preserve"> </w:t>
      </w:r>
      <w:r w:rsidR="00B57E6F" w:rsidRPr="00B57B36">
        <w:t xml:space="preserve">, </w:t>
      </w:r>
      <w:r w:rsidRPr="00D820AC">
        <w:t>Chris Mahlathi</w:t>
      </w:r>
      <w:r w:rsidRPr="00D820AC">
        <w:rPr>
          <w:vertAlign w:val="superscript"/>
        </w:rPr>
        <w:t>b</w:t>
      </w:r>
      <w:r w:rsidRPr="00D820AC">
        <w:t xml:space="preserve"> </w:t>
      </w:r>
    </w:p>
    <w:p w14:paraId="782B98D2" w14:textId="77777777" w:rsidR="008C5A55" w:rsidRDefault="00B57E6F" w:rsidP="008C5A55">
      <w:pPr>
        <w:pStyle w:val="CETAddress"/>
      </w:pPr>
      <w:r w:rsidRPr="00B57B36">
        <w:rPr>
          <w:vertAlign w:val="superscript"/>
        </w:rPr>
        <w:t>a</w:t>
      </w:r>
      <w:r w:rsidR="008C5A55" w:rsidRPr="008C5A55">
        <w:t>Water Utilisation and Environmental Engineering Division, Department of Chemical Engineering, University of Pretoria</w:t>
      </w:r>
    </w:p>
    <w:p w14:paraId="73F1267A" w14:textId="4E1E36DD" w:rsidR="00B57E6F" w:rsidRPr="00B57B36" w:rsidRDefault="00B57E6F" w:rsidP="008C5A55">
      <w:pPr>
        <w:pStyle w:val="CETAddress"/>
      </w:pPr>
      <w:r w:rsidRPr="00B57B36">
        <w:rPr>
          <w:vertAlign w:val="superscript"/>
        </w:rPr>
        <w:t>b</w:t>
      </w:r>
      <w:r w:rsidR="008C5A55" w:rsidRPr="008C5A55">
        <w:t>Council for Scientific and Industrial Research (CSIR), Operational Intelligence, Geospatial Modelling and Analysis</w:t>
      </w:r>
      <w:r>
        <w:t xml:space="preserve"> </w:t>
      </w:r>
      <w:r w:rsidR="008C5A55">
        <w:t>bmashangoane@tuks.co.za</w:t>
      </w:r>
    </w:p>
    <w:p w14:paraId="61F19E59" w14:textId="77777777" w:rsidR="009740AF" w:rsidRDefault="009740AF" w:rsidP="00600535">
      <w:pPr>
        <w:pStyle w:val="CETBodytext"/>
        <w:rPr>
          <w:lang w:val="en-GB"/>
        </w:rPr>
      </w:pPr>
    </w:p>
    <w:p w14:paraId="65DD8DB6" w14:textId="56C63E61" w:rsidR="009740AF" w:rsidRPr="00B52A72" w:rsidRDefault="009740AF" w:rsidP="00B52A72">
      <w:pPr>
        <w:pStyle w:val="CETBodytext"/>
      </w:pPr>
      <w:r w:rsidRPr="009740AF">
        <w:t xml:space="preserve">A platinum group metal with low natural abundances, palladium is concentrated in the earth's core and mantle. Its recovery and reuse from waste solutions are economically appealing due to its limited availability. The traditional techniques for recovering PGMs from effluents have a number of shortcomings, which has prompted researchers to look for new methods to do so. One such method is biosorption. For the biosorption of palladium from aqueous solutions, a novel biosorbent in the form of a genetically altered </w:t>
      </w:r>
      <w:r w:rsidRPr="009740AF">
        <w:rPr>
          <w:i/>
          <w:iCs/>
        </w:rPr>
        <w:t>Saccharomyces cerevisiae</w:t>
      </w:r>
      <w:r w:rsidRPr="009740AF">
        <w:t xml:space="preserve"> EBY100 strain was created. The genetically modified </w:t>
      </w:r>
      <w:r w:rsidRPr="009740AF">
        <w:rPr>
          <w:i/>
          <w:iCs/>
        </w:rPr>
        <w:t>Saccharomyces cerevisiae</w:t>
      </w:r>
      <w:r w:rsidRPr="009740AF">
        <w:t xml:space="preserve"> EBY100 strain was created to display palladium-binding peptides on its surface.  The purpose of this study was to use batch studies to investigate the adsorption behavior of the genetically modified </w:t>
      </w:r>
      <w:r w:rsidRPr="009740AF">
        <w:rPr>
          <w:i/>
          <w:iCs/>
        </w:rPr>
        <w:t>Saccharomyces cerevisiae</w:t>
      </w:r>
      <w:r w:rsidRPr="009740AF">
        <w:t xml:space="preserve"> EBY100 strain</w:t>
      </w:r>
      <w:r>
        <w:t xml:space="preserve"> by means of isotherm and kinetics studies</w:t>
      </w:r>
      <w:r w:rsidRPr="009740AF">
        <w:t xml:space="preserve">. With the highest adsorption capacity of 125 mg/g, </w:t>
      </w:r>
      <w:r>
        <w:t xml:space="preserve">it </w:t>
      </w:r>
      <w:r w:rsidRPr="009740AF">
        <w:t xml:space="preserve">was discovered that the Freundlich isotherm best describes the </w:t>
      </w:r>
      <w:r w:rsidR="00962379">
        <w:t>Pd (II)</w:t>
      </w:r>
      <w:r w:rsidRPr="009740AF">
        <w:t xml:space="preserve"> ion adsorption onto the genetically modified </w:t>
      </w:r>
      <w:r w:rsidRPr="009740AF">
        <w:rPr>
          <w:i/>
          <w:iCs/>
        </w:rPr>
        <w:t>Saccharomyces cerevisiae</w:t>
      </w:r>
      <w:r w:rsidRPr="009740AF">
        <w:t xml:space="preserve"> EBY100 cells and it also follows a pseudo-second order model.</w:t>
      </w:r>
    </w:p>
    <w:p w14:paraId="476B2F2E" w14:textId="77777777" w:rsidR="00600535" w:rsidRPr="00B57B36" w:rsidRDefault="00600535" w:rsidP="00600535">
      <w:pPr>
        <w:pStyle w:val="CETHeading1"/>
        <w:rPr>
          <w:lang w:val="en-GB"/>
        </w:rPr>
      </w:pPr>
      <w:r w:rsidRPr="00B57B36">
        <w:rPr>
          <w:lang w:val="en-GB"/>
        </w:rPr>
        <w:t>Introduction</w:t>
      </w:r>
    </w:p>
    <w:p w14:paraId="7FA22DC9" w14:textId="77777777" w:rsidR="002166AB" w:rsidRPr="002166AB" w:rsidRDefault="002166AB" w:rsidP="002166AB">
      <w:pPr>
        <w:pStyle w:val="CETBodytext"/>
        <w:rPr>
          <w:lang w:val="en-GB"/>
        </w:rPr>
      </w:pPr>
      <w:r w:rsidRPr="002166AB">
        <w:rPr>
          <w:lang w:val="en-GB"/>
        </w:rPr>
        <w:t xml:space="preserve">Platinum group metals (PGMs) have low natural abundances and are concentrated in the earth's core and mantle.  As a member of the platinum group of metals, palladium is renowned for having a wide range of end uses because of its unique physical and chemical characteristics.  It is comprehensible that there is a rising and ongoing demand for palladium due to the crucial role it plays in various industries; as a result, it is important to manage its reserves.  One of the ways in which this can be achieved is by means of its recovery from waste solutions.  Widely used industrial recycling methods for recovering precious metals from wastewaters include ion exchange resin adsorption, solvent extraction, and reduction of the metal precipitate by reagents; however, these methods have the following drawbacks: They are costly, labour and time intensive, and produce a lot of secondary waste (Won et al., 2010).  Due to the aforementioned drawbacks of these methods, new technologies are being sought after that are less expensive, environmentally friendly and produce less secondary waste when recovering precious metals from waste (Won et al., 2010) . One of these innovations is biosorption.  Although the use of biosorption and its significance for the recovery of PGMs are well known, there is still a need for additional research and the development of biosorption systems that are more advanced.  </w:t>
      </w:r>
    </w:p>
    <w:p w14:paraId="0BC376F4" w14:textId="77777777" w:rsidR="002166AB" w:rsidRPr="002166AB" w:rsidRDefault="002166AB" w:rsidP="002166AB">
      <w:pPr>
        <w:pStyle w:val="CETBodytext"/>
        <w:rPr>
          <w:lang w:val="en-GB"/>
        </w:rPr>
      </w:pPr>
    </w:p>
    <w:p w14:paraId="71B8F272" w14:textId="3CD88455" w:rsidR="002166AB" w:rsidRDefault="002166AB" w:rsidP="002166AB">
      <w:pPr>
        <w:pStyle w:val="CETBodytext"/>
        <w:rPr>
          <w:lang w:val="en-GB"/>
        </w:rPr>
      </w:pPr>
      <w:r w:rsidRPr="002166AB">
        <w:rPr>
          <w:lang w:val="en-GB"/>
        </w:rPr>
        <w:t xml:space="preserve">In a study by Mashangoane and Chirwa (2022), Saccharomyces cerevisiae EBY100 was successfully genetically modified to express the palladium binding peptide, 4R-PtPB, on the cell surface using the yeast display vector, pYD5. In their study, transformation conditions were varied to determine the best transformation conditions for </w:t>
      </w:r>
      <w:r w:rsidRPr="00795105">
        <w:rPr>
          <w:i/>
          <w:iCs/>
          <w:lang w:val="en-GB"/>
        </w:rPr>
        <w:t>Saccharomyces cerevisiae</w:t>
      </w:r>
      <w:r w:rsidRPr="002166AB">
        <w:rPr>
          <w:lang w:val="en-GB"/>
        </w:rPr>
        <w:t xml:space="preserve"> EBY100 cells carrying the pYD5/4R-PdBP as well optimal conditions for the cell surface display of 4R-PdBP.  The genetically engineered  </w:t>
      </w:r>
      <w:r w:rsidRPr="00795105">
        <w:rPr>
          <w:i/>
          <w:iCs/>
          <w:lang w:val="en-GB"/>
        </w:rPr>
        <w:t>Saccharomyces cerevisiae</w:t>
      </w:r>
      <w:r w:rsidRPr="002166AB">
        <w:rPr>
          <w:lang w:val="en-GB"/>
        </w:rPr>
        <w:t xml:space="preserve"> EBY100 cells which exhibited the highest expression levels of the palladium metal binding peptide (4R-PtPB) after being induced in galactose were utilized to conduct biosorption studies; these were annotated P41C.  The P41C cells reached a maximum biosorption capacity of 125 mg/g for </w:t>
      </w:r>
      <w:r w:rsidR="00962379">
        <w:rPr>
          <w:lang w:val="en-GB"/>
        </w:rPr>
        <w:t>Pd (II)</w:t>
      </w:r>
      <w:r w:rsidRPr="002166AB">
        <w:rPr>
          <w:lang w:val="en-GB"/>
        </w:rPr>
        <w:t xml:space="preserve"> from an aqueous solution. These results were comparable to those of wild type </w:t>
      </w:r>
      <w:r w:rsidRPr="00795105">
        <w:rPr>
          <w:i/>
          <w:iCs/>
          <w:lang w:val="en-GB"/>
        </w:rPr>
        <w:t>Saccharomyces cerevisiae</w:t>
      </w:r>
      <w:r w:rsidRPr="002166AB">
        <w:rPr>
          <w:lang w:val="en-GB"/>
        </w:rPr>
        <w:t xml:space="preserve">, which reached adsorption capacity values of 23.0 </w:t>
      </w:r>
      <w:r w:rsidRPr="002166AB">
        <w:rPr>
          <w:lang w:val="en-GB"/>
        </w:rPr>
        <w:lastRenderedPageBreak/>
        <w:t>mg/g - 23.3 mg/g (</w:t>
      </w:r>
      <w:proofErr w:type="spellStart"/>
      <w:r w:rsidRPr="002166AB">
        <w:rPr>
          <w:lang w:val="en-GB"/>
        </w:rPr>
        <w:t>Saitoh</w:t>
      </w:r>
      <w:proofErr w:type="spellEnd"/>
      <w:r w:rsidRPr="002166AB">
        <w:rPr>
          <w:lang w:val="en-GB"/>
        </w:rPr>
        <w:t xml:space="preserve"> et al., 2020) and 0.042 mg/g (</w:t>
      </w:r>
      <w:proofErr w:type="spellStart"/>
      <w:r w:rsidRPr="002166AB">
        <w:rPr>
          <w:lang w:val="en-GB"/>
        </w:rPr>
        <w:t>Godlewska-Zykiewicz</w:t>
      </w:r>
      <w:proofErr w:type="spellEnd"/>
      <w:r w:rsidRPr="002166AB">
        <w:rPr>
          <w:lang w:val="en-GB"/>
        </w:rPr>
        <w:t xml:space="preserve"> et al., 2019). These results are an indication of the potential use of 4R-PdBP surface displaying </w:t>
      </w:r>
      <w:r w:rsidRPr="00795105">
        <w:rPr>
          <w:i/>
          <w:iCs/>
          <w:lang w:val="en-GB"/>
        </w:rPr>
        <w:t>Saccharomyces cerevisiae</w:t>
      </w:r>
      <w:r w:rsidRPr="002166AB">
        <w:rPr>
          <w:lang w:val="en-GB"/>
        </w:rPr>
        <w:t xml:space="preserve"> EBY100 cells for the removal of palladium from industrial wastes.  This objective of this study was investigate the adsorption isotherm and kinetic properties of palladium (II) removal </w:t>
      </w:r>
      <w:r w:rsidR="00795105">
        <w:rPr>
          <w:lang w:val="en-GB"/>
        </w:rPr>
        <w:t xml:space="preserve">by </w:t>
      </w:r>
      <w:r w:rsidRPr="002166AB">
        <w:rPr>
          <w:lang w:val="en-GB"/>
        </w:rPr>
        <w:t>P41C in a batch reactor.  In order to properly comprehend and interpret the adsorption mechanism pathways, which is essential for the general design and advancement of an adsorption system, adsorption isotherm studies are a necessity (</w:t>
      </w:r>
      <w:proofErr w:type="spellStart"/>
      <w:r w:rsidRPr="002166AB">
        <w:rPr>
          <w:lang w:val="en-GB"/>
        </w:rPr>
        <w:t>Rangabhashiyam</w:t>
      </w:r>
      <w:proofErr w:type="spellEnd"/>
      <w:r w:rsidRPr="002166AB">
        <w:rPr>
          <w:lang w:val="en-GB"/>
        </w:rPr>
        <w:t xml:space="preserve"> et al.,2014). The Freundlich and the Langmuir </w:t>
      </w:r>
      <w:r>
        <w:rPr>
          <w:lang w:val="en-GB"/>
        </w:rPr>
        <w:t>I</w:t>
      </w:r>
      <w:r w:rsidRPr="002166AB">
        <w:rPr>
          <w:lang w:val="en-GB"/>
        </w:rPr>
        <w:t xml:space="preserve">sotherms were utilized in this study to access the two different isotherms and their ability to correlate the experimental data of the biosorption of </w:t>
      </w:r>
      <w:r w:rsidR="00962379">
        <w:rPr>
          <w:lang w:val="en-GB"/>
        </w:rPr>
        <w:t>Pd (II)</w:t>
      </w:r>
      <w:r w:rsidRPr="002166AB">
        <w:rPr>
          <w:lang w:val="en-GB"/>
        </w:rPr>
        <w:t xml:space="preserve"> onto P41C.  On the other hand, adsorption kinetic studies yields information on the adsorption rate, adsorbent performance and mass transfer mechanisms; understanding adsorption kinetics is also critical for designing adsorption systems (Wang and Gou, 2020).  In order to characterize the kinetics of </w:t>
      </w:r>
      <w:r w:rsidR="00962379">
        <w:rPr>
          <w:lang w:val="en-GB"/>
        </w:rPr>
        <w:t>Pd (II)</w:t>
      </w:r>
      <w:r w:rsidRPr="002166AB">
        <w:rPr>
          <w:lang w:val="en-GB"/>
        </w:rPr>
        <w:t xml:space="preserve"> onto P41C, the </w:t>
      </w:r>
      <w:bookmarkStart w:id="0" w:name="_Hlk127520532"/>
      <w:r w:rsidRPr="002166AB">
        <w:rPr>
          <w:lang w:val="en-GB"/>
        </w:rPr>
        <w:t xml:space="preserve">models </w:t>
      </w:r>
      <w:r>
        <w:rPr>
          <w:lang w:val="en-GB"/>
        </w:rPr>
        <w:t>P</w:t>
      </w:r>
      <w:r w:rsidRPr="002166AB">
        <w:rPr>
          <w:lang w:val="en-GB"/>
        </w:rPr>
        <w:t>seudo-</w:t>
      </w:r>
      <w:r>
        <w:rPr>
          <w:lang w:val="en-GB"/>
        </w:rPr>
        <w:t>F</w:t>
      </w:r>
      <w:r w:rsidRPr="002166AB">
        <w:rPr>
          <w:lang w:val="en-GB"/>
        </w:rPr>
        <w:t xml:space="preserve">irst </w:t>
      </w:r>
      <w:r>
        <w:rPr>
          <w:lang w:val="en-GB"/>
        </w:rPr>
        <w:t>O</w:t>
      </w:r>
      <w:r w:rsidRPr="002166AB">
        <w:rPr>
          <w:lang w:val="en-GB"/>
        </w:rPr>
        <w:t xml:space="preserve">rder model and </w:t>
      </w:r>
      <w:r>
        <w:rPr>
          <w:lang w:val="en-GB"/>
        </w:rPr>
        <w:t>P</w:t>
      </w:r>
      <w:r w:rsidRPr="002166AB">
        <w:rPr>
          <w:lang w:val="en-GB"/>
        </w:rPr>
        <w:t>seudo-</w:t>
      </w:r>
      <w:r>
        <w:rPr>
          <w:lang w:val="en-GB"/>
        </w:rPr>
        <w:t>S</w:t>
      </w:r>
      <w:r w:rsidRPr="002166AB">
        <w:rPr>
          <w:lang w:val="en-GB"/>
        </w:rPr>
        <w:t xml:space="preserve">econd </w:t>
      </w:r>
      <w:r>
        <w:rPr>
          <w:lang w:val="en-GB"/>
        </w:rPr>
        <w:t>O</w:t>
      </w:r>
      <w:r w:rsidRPr="002166AB">
        <w:rPr>
          <w:lang w:val="en-GB"/>
        </w:rPr>
        <w:t>rder</w:t>
      </w:r>
      <w:bookmarkEnd w:id="0"/>
      <w:r w:rsidRPr="002166AB">
        <w:rPr>
          <w:lang w:val="en-GB"/>
        </w:rPr>
        <w:t xml:space="preserve"> model were used for the analysis of the experimental results</w:t>
      </w:r>
      <w:r>
        <w:rPr>
          <w:lang w:val="en-GB"/>
        </w:rPr>
        <w:t>.</w:t>
      </w:r>
    </w:p>
    <w:p w14:paraId="4A2C359C" w14:textId="1D1189D3" w:rsidR="002166AB" w:rsidRDefault="002166AB" w:rsidP="00B52A72">
      <w:pPr>
        <w:pStyle w:val="NoSpacing"/>
      </w:pPr>
    </w:p>
    <w:p w14:paraId="44E1298F" w14:textId="75E5F1EF" w:rsidR="002166AB" w:rsidRDefault="00C966CF" w:rsidP="002166AB">
      <w:pPr>
        <w:pStyle w:val="CETHeading1"/>
      </w:pPr>
      <w:r w:rsidRPr="00C966CF">
        <w:rPr>
          <w:bCs/>
          <w:lang w:val="en-GB"/>
        </w:rPr>
        <w:t>Materials and Methods</w:t>
      </w:r>
    </w:p>
    <w:p w14:paraId="170B34B6" w14:textId="77777777" w:rsidR="00C966CF" w:rsidRPr="00C966CF" w:rsidRDefault="00C966CF" w:rsidP="00C966CF">
      <w:pPr>
        <w:tabs>
          <w:tab w:val="clear" w:pos="7100"/>
        </w:tabs>
        <w:spacing w:after="200" w:line="276" w:lineRule="auto"/>
        <w:rPr>
          <w:rFonts w:eastAsia="Calibri" w:cs="Arial"/>
          <w:b/>
          <w:szCs w:val="18"/>
          <w:lang w:val="en-ZA"/>
        </w:rPr>
      </w:pPr>
      <w:r w:rsidRPr="00C966CF">
        <w:rPr>
          <w:rFonts w:eastAsia="Calibri" w:cs="Arial"/>
          <w:b/>
          <w:szCs w:val="18"/>
          <w:lang w:val="en-US"/>
        </w:rPr>
        <w:t xml:space="preserve">2.1 Preparation of P41C biomass </w:t>
      </w:r>
    </w:p>
    <w:p w14:paraId="23F1D6B4" w14:textId="77777777" w:rsidR="00C966CF" w:rsidRPr="00C966CF" w:rsidRDefault="00C966CF" w:rsidP="00C966CF">
      <w:pPr>
        <w:tabs>
          <w:tab w:val="clear" w:pos="7100"/>
        </w:tabs>
        <w:spacing w:after="200" w:line="276" w:lineRule="auto"/>
        <w:rPr>
          <w:rFonts w:eastAsia="Calibri" w:cs="Arial"/>
          <w:szCs w:val="18"/>
          <w:lang w:val="en-ZA"/>
        </w:rPr>
      </w:pPr>
      <w:r w:rsidRPr="00C966CF">
        <w:rPr>
          <w:rFonts w:eastAsia="Calibri" w:cs="Arial"/>
          <w:szCs w:val="18"/>
          <w:lang w:val="en-ZA"/>
        </w:rPr>
        <w:t xml:space="preserve">P41C cells were induced in galactose for the expression of the palladium (II) binding peptides as described in Mashangoane and Chirwa (2022). The induced cells were centrifuged at 3000 x g for 10 minutes at 4°C.  The supernatants were discarded and the pellets were resuspended in ultrapure water.  The cells were centrifuged again at 3000 x g for 10 minutes at 4°C.  The cells were autoclaved at 121°C for 5 minutes to obtain dead biomass and were immediately frozen at -70ºC overnight.  The cells were transferred to a freeze dryer (model) for 48hrs; fine powdered biomass obtained. The freeze dried cells were then stored at freezer at -70ºC. </w:t>
      </w:r>
    </w:p>
    <w:p w14:paraId="0FC66DCB" w14:textId="77777777" w:rsidR="00C966CF" w:rsidRPr="00C966CF" w:rsidRDefault="00C966CF" w:rsidP="00E77CD4">
      <w:pPr>
        <w:pStyle w:val="NoSpacing"/>
        <w:rPr>
          <w:rFonts w:eastAsia="Calibri"/>
          <w:lang w:val="en-ZA"/>
        </w:rPr>
      </w:pPr>
    </w:p>
    <w:p w14:paraId="4A6EB347" w14:textId="77777777" w:rsidR="00C966CF" w:rsidRPr="00C966CF" w:rsidRDefault="00C966CF" w:rsidP="00C966CF">
      <w:pPr>
        <w:tabs>
          <w:tab w:val="clear" w:pos="7100"/>
        </w:tabs>
        <w:spacing w:after="200" w:line="276" w:lineRule="auto"/>
        <w:rPr>
          <w:rFonts w:eastAsia="Calibri" w:cs="Arial"/>
          <w:szCs w:val="18"/>
          <w:lang w:val="en-ZA"/>
        </w:rPr>
      </w:pPr>
      <w:r w:rsidRPr="00C966CF">
        <w:rPr>
          <w:rFonts w:eastAsia="Calibri" w:cs="Arial"/>
          <w:b/>
          <w:szCs w:val="18"/>
          <w:lang w:val="en-US"/>
        </w:rPr>
        <w:t>2.2 Preparation of stock solution</w:t>
      </w:r>
    </w:p>
    <w:p w14:paraId="13E07CEB" w14:textId="3EF3B7FE" w:rsidR="00C966CF" w:rsidRPr="00C966CF" w:rsidRDefault="00C966CF" w:rsidP="00C966CF">
      <w:pPr>
        <w:tabs>
          <w:tab w:val="clear" w:pos="7100"/>
        </w:tabs>
        <w:spacing w:after="200" w:line="276" w:lineRule="auto"/>
        <w:rPr>
          <w:rFonts w:eastAsia="Calibri" w:cs="Arial"/>
          <w:szCs w:val="18"/>
          <w:lang w:val="en-US"/>
        </w:rPr>
      </w:pPr>
      <w:r w:rsidRPr="00C966CF">
        <w:rPr>
          <w:rFonts w:eastAsia="Calibri" w:cs="Arial"/>
          <w:szCs w:val="18"/>
          <w:lang w:val="en-US"/>
        </w:rPr>
        <w:t xml:space="preserve">The stock solution of Pd (II) (1000ppm) were prepared by dissolving measured quantities of </w:t>
      </w:r>
      <w:r w:rsidRPr="00C966CF">
        <w:rPr>
          <w:rFonts w:eastAsia="Calibri" w:cs="Arial"/>
          <w:color w:val="000000"/>
          <w:szCs w:val="18"/>
          <w:lang w:val="en-US"/>
        </w:rPr>
        <w:t>PdCl2 (Merk)</w:t>
      </w:r>
      <w:r w:rsidRPr="00C966CF">
        <w:rPr>
          <w:rFonts w:eastAsia="Calibri" w:cs="Arial"/>
          <w:b/>
          <w:color w:val="FF0000"/>
          <w:szCs w:val="18"/>
          <w:lang w:val="en-US"/>
        </w:rPr>
        <w:t xml:space="preserve"> </w:t>
      </w:r>
      <w:r w:rsidRPr="00C966CF">
        <w:rPr>
          <w:rFonts w:eastAsia="Calibri" w:cs="Arial"/>
          <w:szCs w:val="18"/>
          <w:lang w:val="en-US"/>
        </w:rPr>
        <w:t xml:space="preserve">respectively in ultrapure water. The stock solution was diluted with ultrapure water to obtain the desired initial </w:t>
      </w:r>
      <w:r w:rsidR="00962379">
        <w:rPr>
          <w:rFonts w:eastAsia="Calibri" w:cs="Arial"/>
          <w:szCs w:val="18"/>
          <w:lang w:val="en-US"/>
        </w:rPr>
        <w:t>Pd (II)</w:t>
      </w:r>
      <w:r w:rsidRPr="00C966CF">
        <w:rPr>
          <w:rFonts w:eastAsia="Calibri" w:cs="Arial"/>
          <w:szCs w:val="18"/>
          <w:lang w:val="en-US"/>
        </w:rPr>
        <w:t xml:space="preserve"> concentrations of 10mg/L, 20 mg/L, 30 mg/L and 50 mg/L.   The pH level of the solutions was adjusted to 3 using dilute HCl or NaOH. </w:t>
      </w:r>
    </w:p>
    <w:p w14:paraId="2624F9D9" w14:textId="77777777" w:rsidR="00C966CF" w:rsidRPr="00C966CF" w:rsidRDefault="00C966CF" w:rsidP="00E77CD4">
      <w:pPr>
        <w:pStyle w:val="NoSpacing"/>
        <w:rPr>
          <w:rFonts w:eastAsia="Calibri"/>
          <w:lang w:val="en-US"/>
        </w:rPr>
      </w:pPr>
    </w:p>
    <w:p w14:paraId="7391AF54" w14:textId="77777777" w:rsidR="00C966CF" w:rsidRPr="00C966CF" w:rsidRDefault="00C966CF" w:rsidP="00C966CF">
      <w:pPr>
        <w:tabs>
          <w:tab w:val="clear" w:pos="7100"/>
        </w:tabs>
        <w:spacing w:after="200" w:line="276" w:lineRule="auto"/>
        <w:rPr>
          <w:rFonts w:eastAsia="Calibri" w:cs="Arial"/>
          <w:b/>
          <w:bCs/>
          <w:szCs w:val="18"/>
          <w:lang w:val="en-US"/>
        </w:rPr>
      </w:pPr>
      <w:r w:rsidRPr="00C966CF">
        <w:rPr>
          <w:rFonts w:eastAsia="Calibri" w:cs="Arial"/>
          <w:b/>
          <w:bCs/>
          <w:szCs w:val="18"/>
          <w:lang w:val="en-US"/>
        </w:rPr>
        <w:t xml:space="preserve">2.3. </w:t>
      </w:r>
      <w:r w:rsidRPr="00C966CF">
        <w:rPr>
          <w:rFonts w:eastAsia="Calibri" w:cs="Arial"/>
          <w:b/>
          <w:szCs w:val="18"/>
          <w:lang w:val="en-US"/>
        </w:rPr>
        <w:t>Biosorption Equilibrium Isotherms</w:t>
      </w:r>
    </w:p>
    <w:p w14:paraId="1A871E07" w14:textId="0140729A" w:rsidR="00C966CF" w:rsidRPr="00C966CF" w:rsidRDefault="00C966CF" w:rsidP="00C966CF">
      <w:pPr>
        <w:tabs>
          <w:tab w:val="clear" w:pos="7100"/>
        </w:tabs>
        <w:autoSpaceDE w:val="0"/>
        <w:autoSpaceDN w:val="0"/>
        <w:adjustRightInd w:val="0"/>
        <w:spacing w:line="276" w:lineRule="auto"/>
        <w:rPr>
          <w:rFonts w:eastAsia="Calibri" w:cs="Arial"/>
          <w:szCs w:val="18"/>
          <w:lang w:val="en-US"/>
        </w:rPr>
      </w:pPr>
      <w:r w:rsidRPr="00C966CF">
        <w:rPr>
          <w:rFonts w:eastAsia="Calibri" w:cs="Arial"/>
          <w:szCs w:val="18"/>
          <w:lang w:val="en-US"/>
        </w:rPr>
        <w:t>Equilibrium isotherm studies were conducted at the following varying initial metal ion concentrations; 10mg/L, 20 mg/L, 30 mg/L and 50 mg/L for Pd (II).  Experiments were conducted under optimum conditions; i.e. pH of 3, adsorbent (P41C) dosage of 0.1</w:t>
      </w:r>
      <w:r w:rsidR="00DD4671">
        <w:rPr>
          <w:rFonts w:eastAsia="Calibri" w:cs="Arial"/>
          <w:szCs w:val="18"/>
          <w:lang w:val="en-US"/>
        </w:rPr>
        <w:t xml:space="preserve"> </w:t>
      </w:r>
      <w:r w:rsidRPr="00C966CF">
        <w:rPr>
          <w:rFonts w:eastAsia="Calibri" w:cs="Arial"/>
          <w:szCs w:val="18"/>
          <w:lang w:val="en-US"/>
        </w:rPr>
        <w:t>g at room temperature.  The experiments were carried out in duplicates whereby 1ml of samples were taken at pre-determined time intervals over 6 h from 500</w:t>
      </w:r>
      <w:r w:rsidR="00DD4671">
        <w:rPr>
          <w:rFonts w:eastAsia="Calibri" w:cs="Arial"/>
          <w:szCs w:val="18"/>
          <w:lang w:val="en-US"/>
        </w:rPr>
        <w:t xml:space="preserve"> </w:t>
      </w:r>
      <w:r w:rsidRPr="00C966CF">
        <w:rPr>
          <w:rFonts w:eastAsia="Calibri" w:cs="Arial"/>
          <w:szCs w:val="18"/>
          <w:lang w:val="en-US"/>
        </w:rPr>
        <w:t>ml of metal solutions in 1000</w:t>
      </w:r>
      <w:r w:rsidR="00DD4671">
        <w:rPr>
          <w:rFonts w:eastAsia="Calibri" w:cs="Arial"/>
          <w:szCs w:val="18"/>
          <w:lang w:val="en-US"/>
        </w:rPr>
        <w:t xml:space="preserve"> </w:t>
      </w:r>
      <w:r w:rsidRPr="00C966CF">
        <w:rPr>
          <w:rFonts w:eastAsia="Calibri" w:cs="Arial"/>
          <w:szCs w:val="18"/>
          <w:lang w:val="en-US"/>
        </w:rPr>
        <w:t xml:space="preserve">mL Erlenmeyer flasks.  The collected samples were analysed for metal concentration using Inductively Coupled Plasma mass spectrometry (ICP, Spectro </w:t>
      </w:r>
      <w:proofErr w:type="spellStart"/>
      <w:r w:rsidRPr="00C966CF">
        <w:rPr>
          <w:rFonts w:eastAsia="Calibri" w:cs="Arial"/>
          <w:szCs w:val="18"/>
          <w:lang w:val="en-US"/>
        </w:rPr>
        <w:t>Arcos</w:t>
      </w:r>
      <w:proofErr w:type="spellEnd"/>
      <w:r w:rsidRPr="00C966CF">
        <w:rPr>
          <w:rFonts w:eastAsia="Calibri" w:cs="Arial"/>
          <w:szCs w:val="18"/>
          <w:lang w:val="en-US"/>
        </w:rPr>
        <w:t xml:space="preserve"> FHS12, </w:t>
      </w:r>
      <w:proofErr w:type="spellStart"/>
      <w:r w:rsidRPr="00C966CF">
        <w:rPr>
          <w:rFonts w:eastAsia="Calibri" w:cs="Arial"/>
          <w:szCs w:val="18"/>
          <w:lang w:val="en-US"/>
        </w:rPr>
        <w:t>Boschstroisse</w:t>
      </w:r>
      <w:proofErr w:type="spellEnd"/>
      <w:r w:rsidRPr="00C966CF">
        <w:rPr>
          <w:rFonts w:eastAsia="Calibri" w:cs="Arial"/>
          <w:szCs w:val="18"/>
          <w:lang w:val="en-US"/>
        </w:rPr>
        <w:t xml:space="preserve">, Germany).  The Langmuir and Freundlich isotherm models were used to </w:t>
      </w:r>
      <w:proofErr w:type="spellStart"/>
      <w:r w:rsidRPr="00C966CF">
        <w:rPr>
          <w:rFonts w:eastAsia="Calibri" w:cs="Arial"/>
          <w:szCs w:val="18"/>
          <w:lang w:val="en-US"/>
        </w:rPr>
        <w:t>analyse</w:t>
      </w:r>
      <w:proofErr w:type="spellEnd"/>
      <w:r w:rsidRPr="00C966CF">
        <w:rPr>
          <w:rFonts w:eastAsia="Calibri" w:cs="Arial"/>
          <w:szCs w:val="18"/>
          <w:lang w:val="en-US"/>
        </w:rPr>
        <w:t xml:space="preserve"> equilibrium isotherm data for purposes of describing biosorption data at equilibrium and showing the correlation between the mass of solute adsorbed per unit mass of sorbent at equilibrium.  The amount of metal ions adsorbed per unit biomass was obtained using equation (1): </w:t>
      </w:r>
    </w:p>
    <w:p w14:paraId="4C97AB7D" w14:textId="77777777" w:rsidR="00C966CF" w:rsidRPr="00C966CF" w:rsidRDefault="00000000" w:rsidP="00C966CF">
      <w:pPr>
        <w:tabs>
          <w:tab w:val="clear" w:pos="7100"/>
        </w:tabs>
        <w:spacing w:line="276" w:lineRule="auto"/>
        <w:ind w:left="360"/>
        <w:jc w:val="left"/>
        <w:rPr>
          <w:rFonts w:eastAsia="Calibri" w:cs="Arial"/>
          <w:szCs w:val="18"/>
          <w:lang w:val="en-US"/>
        </w:rPr>
      </w:pPr>
      <m:oMathPara>
        <m:oMath>
          <m:sSub>
            <m:sSubPr>
              <m:ctrlPr>
                <w:rPr>
                  <w:rFonts w:ascii="Cambria Math" w:eastAsia="Calibri" w:hAnsi="Cambria Math" w:cs="Arial"/>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r>
            <m:rPr>
              <m:sty m:val="p"/>
            </m:rPr>
            <w:rPr>
              <w:rFonts w:ascii="Cambria Math" w:eastAsia="Calibri" w:hAnsi="Cambria Math" w:cs="Arial"/>
              <w:szCs w:val="18"/>
              <w:lang w:val="en-US"/>
            </w:rPr>
            <m:t xml:space="preserve">= </m:t>
          </m:r>
          <m:f>
            <m:fPr>
              <m:ctrlPr>
                <w:rPr>
                  <w:rFonts w:ascii="Cambria Math" w:eastAsia="Calibri" w:hAnsi="Cambria Math" w:cs="Arial"/>
                  <w:szCs w:val="18"/>
                  <w:lang w:val="en-US"/>
                </w:rPr>
              </m:ctrlPr>
            </m:fPr>
            <m:num>
              <m:d>
                <m:dPr>
                  <m:ctrlPr>
                    <w:rPr>
                      <w:rFonts w:ascii="Cambria Math" w:eastAsia="Calibri" w:hAnsi="Cambria Math" w:cs="Arial"/>
                      <w:szCs w:val="18"/>
                      <w:lang w:val="en-US"/>
                    </w:rPr>
                  </m:ctrlPr>
                </m:dPr>
                <m:e>
                  <m:sSub>
                    <m:sSubPr>
                      <m:ctrlPr>
                        <w:rPr>
                          <w:rFonts w:ascii="Cambria Math" w:eastAsia="Calibri" w:hAnsi="Cambria Math" w:cs="Arial"/>
                          <w:szCs w:val="18"/>
                          <w:lang w:val="en-US"/>
                        </w:rPr>
                      </m:ctrlPr>
                    </m:sSubPr>
                    <m:e>
                      <m:r>
                        <w:rPr>
                          <w:rFonts w:ascii="Cambria Math" w:eastAsia="Calibri" w:hAnsi="Cambria Math" w:cs="Arial"/>
                          <w:szCs w:val="18"/>
                          <w:lang w:val="en-US"/>
                        </w:rPr>
                        <m:t>C</m:t>
                      </m:r>
                    </m:e>
                    <m:sub>
                      <m:r>
                        <m:rPr>
                          <m:sty m:val="p"/>
                        </m:rPr>
                        <w:rPr>
                          <w:rFonts w:ascii="Cambria Math" w:eastAsia="Calibri" w:hAnsi="Cambria Math" w:cs="Arial"/>
                          <w:szCs w:val="18"/>
                          <w:lang w:val="en-US"/>
                        </w:rPr>
                        <m:t xml:space="preserve">0  </m:t>
                      </m:r>
                    </m:sub>
                  </m:sSub>
                  <m:r>
                    <m:rPr>
                      <m:sty m:val="p"/>
                    </m:rPr>
                    <w:rPr>
                      <w:rFonts w:ascii="Cambria Math" w:eastAsia="Calibri" w:hAnsi="Cambria Math" w:cs="Arial"/>
                      <w:szCs w:val="18"/>
                      <w:lang w:val="en-US"/>
                    </w:rPr>
                    <m:t>-</m:t>
                  </m:r>
                  <m:sSub>
                    <m:sSubPr>
                      <m:ctrlPr>
                        <w:rPr>
                          <w:rFonts w:ascii="Cambria Math" w:eastAsia="Calibri" w:hAnsi="Cambria Math" w:cs="Arial"/>
                          <w:szCs w:val="18"/>
                          <w:lang w:val="en-US"/>
                        </w:rPr>
                      </m:ctrlPr>
                    </m:sSubPr>
                    <m:e>
                      <m:r>
                        <m:rPr>
                          <m:sty m:val="p"/>
                        </m:rPr>
                        <w:rPr>
                          <w:rFonts w:ascii="Cambria Math" w:eastAsia="Calibri" w:hAnsi="Cambria Math" w:cs="Arial"/>
                          <w:szCs w:val="18"/>
                          <w:lang w:val="en-US"/>
                        </w:rPr>
                        <m:t xml:space="preserve">  </m:t>
                      </m:r>
                      <m:r>
                        <w:rPr>
                          <w:rFonts w:ascii="Cambria Math" w:eastAsia="Calibri" w:hAnsi="Cambria Math" w:cs="Arial"/>
                          <w:szCs w:val="18"/>
                          <w:lang w:val="en-US"/>
                        </w:rPr>
                        <m:t>C</m:t>
                      </m:r>
                    </m:e>
                    <m:sub>
                      <m:r>
                        <w:rPr>
                          <w:rFonts w:ascii="Cambria Math" w:eastAsia="Calibri" w:hAnsi="Cambria Math" w:cs="Arial"/>
                          <w:szCs w:val="18"/>
                          <w:lang w:val="en-US"/>
                        </w:rPr>
                        <m:t>e</m:t>
                      </m:r>
                    </m:sub>
                  </m:sSub>
                </m:e>
              </m:d>
              <m:r>
                <m:rPr>
                  <m:sty m:val="p"/>
                </m:rPr>
                <w:rPr>
                  <w:rFonts w:ascii="Cambria Math" w:eastAsia="Calibri" w:hAnsi="Cambria Math" w:cs="Arial"/>
                  <w:szCs w:val="18"/>
                  <w:lang w:val="en-US"/>
                </w:rPr>
                <m:t xml:space="preserve"> </m:t>
              </m:r>
              <m:r>
                <w:rPr>
                  <w:rFonts w:ascii="Cambria Math" w:eastAsia="Calibri" w:hAnsi="Cambria Math" w:cs="Arial"/>
                  <w:szCs w:val="18"/>
                  <w:lang w:val="en-US"/>
                </w:rPr>
                <m:t>x</m:t>
              </m:r>
              <m:r>
                <m:rPr>
                  <m:sty m:val="p"/>
                </m:rPr>
                <w:rPr>
                  <w:rFonts w:ascii="Cambria Math" w:eastAsia="Calibri" w:hAnsi="Cambria Math" w:cs="Arial"/>
                  <w:szCs w:val="18"/>
                  <w:lang w:val="en-US"/>
                </w:rPr>
                <m:t xml:space="preserve"> </m:t>
              </m:r>
              <m:r>
                <w:rPr>
                  <w:rFonts w:ascii="Cambria Math" w:eastAsia="Calibri" w:hAnsi="Cambria Math" w:cs="Arial"/>
                  <w:szCs w:val="18"/>
                  <w:lang w:val="en-US"/>
                </w:rPr>
                <m:t>V</m:t>
              </m:r>
            </m:num>
            <m:den>
              <m:r>
                <w:rPr>
                  <w:rFonts w:ascii="Cambria Math" w:eastAsia="Calibri" w:hAnsi="Cambria Math" w:cs="Arial"/>
                  <w:szCs w:val="18"/>
                  <w:lang w:val="en-US"/>
                </w:rPr>
                <m:t>m</m:t>
              </m:r>
            </m:den>
          </m:f>
          <m:r>
            <m:rPr>
              <m:sty m:val="p"/>
            </m:rPr>
            <w:rPr>
              <w:rFonts w:ascii="Cambria Math" w:eastAsia="Calibri" w:hAnsi="Cambria Math" w:cs="Arial"/>
              <w:szCs w:val="18"/>
              <w:lang w:val="en-US"/>
            </w:rPr>
            <w:br/>
          </m:r>
        </m:oMath>
      </m:oMathPara>
      <w:r w:rsidR="00C966CF" w:rsidRPr="00C966CF">
        <w:rPr>
          <w:rFonts w:eastAsia="Calibri" w:cs="Arial"/>
          <w:szCs w:val="18"/>
          <w:lang w:val="en-US"/>
        </w:rPr>
        <w:tab/>
      </w:r>
      <w:r w:rsidR="00C966CF" w:rsidRPr="00C966CF">
        <w:rPr>
          <w:rFonts w:eastAsia="Calibri" w:cs="Arial"/>
          <w:szCs w:val="18"/>
          <w:lang w:val="en-US"/>
        </w:rPr>
        <w:tab/>
      </w:r>
      <w:r w:rsidR="00C966CF" w:rsidRPr="00C966CF">
        <w:rPr>
          <w:rFonts w:eastAsia="Calibri" w:cs="Arial"/>
          <w:szCs w:val="18"/>
          <w:lang w:val="en-US"/>
        </w:rPr>
        <w:tab/>
      </w:r>
      <w:r w:rsidR="00C966CF" w:rsidRPr="00C966CF">
        <w:rPr>
          <w:rFonts w:eastAsia="Calibri" w:cs="Arial"/>
          <w:szCs w:val="18"/>
          <w:lang w:val="en-US"/>
        </w:rPr>
        <w:tab/>
      </w:r>
      <w:r w:rsidR="00C966CF" w:rsidRPr="00C966CF">
        <w:rPr>
          <w:rFonts w:eastAsia="Calibri" w:cs="Arial"/>
          <w:szCs w:val="18"/>
          <w:lang w:val="en-US"/>
        </w:rPr>
        <w:tab/>
      </w:r>
      <w:r w:rsidR="00C966CF" w:rsidRPr="00C966CF">
        <w:rPr>
          <w:rFonts w:eastAsia="Calibri" w:cs="Arial"/>
          <w:szCs w:val="18"/>
          <w:lang w:val="en-US"/>
        </w:rPr>
        <w:tab/>
      </w:r>
      <w:r w:rsidR="00C966CF" w:rsidRPr="00C966CF">
        <w:rPr>
          <w:rFonts w:eastAsia="Calibri" w:cs="Arial"/>
          <w:szCs w:val="18"/>
          <w:lang w:val="en-US"/>
        </w:rPr>
        <w:tab/>
      </w:r>
      <w:r w:rsidR="00C966CF" w:rsidRPr="00C966CF">
        <w:rPr>
          <w:rFonts w:eastAsia="Calibri" w:cs="Arial"/>
          <w:szCs w:val="18"/>
          <w:lang w:val="en-US"/>
        </w:rPr>
        <w:tab/>
      </w:r>
      <w:r w:rsidR="00C966CF" w:rsidRPr="00C966CF">
        <w:rPr>
          <w:rFonts w:eastAsia="Calibri" w:cs="Arial"/>
          <w:szCs w:val="18"/>
          <w:lang w:val="en-US"/>
        </w:rPr>
        <w:tab/>
      </w:r>
      <w:r w:rsidR="00C966CF" w:rsidRPr="00C966CF">
        <w:rPr>
          <w:rFonts w:eastAsia="Calibri" w:cs="Arial"/>
          <w:szCs w:val="18"/>
          <w:lang w:val="en-US"/>
        </w:rPr>
        <w:tab/>
        <w:t xml:space="preserve">                       (1)</w:t>
      </w:r>
    </w:p>
    <w:p w14:paraId="63D86FA8" w14:textId="77777777" w:rsidR="00121363" w:rsidRDefault="00C966CF" w:rsidP="00C966CF">
      <w:pPr>
        <w:tabs>
          <w:tab w:val="clear" w:pos="7100"/>
        </w:tabs>
        <w:spacing w:after="200" w:line="276" w:lineRule="auto"/>
        <w:rPr>
          <w:rFonts w:eastAsia="Calibri" w:cs="Arial"/>
          <w:szCs w:val="18"/>
          <w:lang w:val="en-US"/>
        </w:rPr>
      </w:pPr>
      <w:bookmarkStart w:id="1" w:name="_Hlk127521247"/>
      <w:r w:rsidRPr="00C966CF">
        <w:rPr>
          <w:rFonts w:eastAsia="Calibri" w:cs="Arial"/>
          <w:szCs w:val="18"/>
          <w:lang w:val="en-US"/>
        </w:rPr>
        <w:t xml:space="preserve">where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oMath>
      <w:r w:rsidRPr="00C966CF">
        <w:rPr>
          <w:rFonts w:eastAsia="Calibri" w:cs="Arial"/>
          <w:szCs w:val="18"/>
          <w:lang w:val="en-US"/>
        </w:rPr>
        <w:t xml:space="preserve"> is the </w:t>
      </w:r>
      <w:r w:rsidR="00B52A72" w:rsidRPr="00C966CF">
        <w:rPr>
          <w:rFonts w:eastAsia="Calibri" w:cs="Arial"/>
          <w:szCs w:val="18"/>
          <w:lang w:val="en-US"/>
        </w:rPr>
        <w:t>is the amount of adsorbed metal (mg/g)</w:t>
      </w:r>
      <w:r w:rsidR="00B52A72">
        <w:rPr>
          <w:rFonts w:eastAsia="Calibri" w:cs="Arial"/>
          <w:szCs w:val="18"/>
          <w:lang w:val="en-US"/>
        </w:rPr>
        <w:t xml:space="preserve"> at equilibrium</w:t>
      </w:r>
      <w:r w:rsidR="00B52A72" w:rsidRPr="00C966CF">
        <w:rPr>
          <w:rFonts w:eastAsia="Calibri" w:cs="Arial"/>
          <w:szCs w:val="18"/>
          <w:lang w:val="en-US"/>
        </w:rPr>
        <w:t xml:space="preserve"> </w:t>
      </w:r>
      <w:r w:rsidRPr="00C966CF">
        <w:rPr>
          <w:rFonts w:eastAsia="Calibri" w:cs="Arial"/>
          <w:szCs w:val="18"/>
          <w:lang w:val="en-US"/>
        </w:rPr>
        <w:t xml:space="preserve">(mg/g),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C</m:t>
            </m:r>
          </m:e>
          <m:sub>
            <m:r>
              <w:rPr>
                <w:rFonts w:ascii="Cambria Math" w:eastAsia="Calibri" w:hAnsi="Cambria Math" w:cs="Arial"/>
                <w:szCs w:val="18"/>
                <w:lang w:val="en-US"/>
              </w:rPr>
              <m:t>0</m:t>
            </m:r>
          </m:sub>
        </m:sSub>
      </m:oMath>
      <w:r w:rsidRPr="00C966CF">
        <w:rPr>
          <w:rFonts w:eastAsia="Calibri" w:cs="Arial"/>
          <w:szCs w:val="18"/>
          <w:lang w:val="en-US"/>
        </w:rPr>
        <w:t xml:space="preserve"> and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 xml:space="preserve">  C</m:t>
            </m:r>
          </m:e>
          <m:sub>
            <m:r>
              <w:rPr>
                <w:rFonts w:ascii="Cambria Math" w:eastAsia="Calibri" w:hAnsi="Cambria Math" w:cs="Arial"/>
                <w:szCs w:val="18"/>
                <w:lang w:val="en-US"/>
              </w:rPr>
              <m:t>e</m:t>
            </m:r>
          </m:sub>
        </m:sSub>
      </m:oMath>
      <w:r w:rsidRPr="00C966CF">
        <w:rPr>
          <w:rFonts w:eastAsia="Calibri" w:cs="Arial"/>
          <w:szCs w:val="18"/>
          <w:lang w:val="en-US"/>
        </w:rPr>
        <w:t xml:space="preserve"> are the initial and final equilibrium metal concentrations (mg/L), </w:t>
      </w:r>
      <m:oMath>
        <m:r>
          <w:rPr>
            <w:rFonts w:ascii="Cambria Math" w:eastAsia="Calibri" w:hAnsi="Cambria Math" w:cs="Arial"/>
            <w:szCs w:val="18"/>
            <w:lang w:val="en-US"/>
          </w:rPr>
          <m:t>V</m:t>
        </m:r>
      </m:oMath>
      <w:r w:rsidRPr="00C966CF">
        <w:rPr>
          <w:rFonts w:eastAsia="Calibri" w:cs="Arial"/>
          <w:szCs w:val="18"/>
          <w:lang w:val="en-US"/>
        </w:rPr>
        <w:t xml:space="preserve"> is the volume (L) and </w:t>
      </w:r>
      <m:oMath>
        <m:r>
          <w:rPr>
            <w:rFonts w:ascii="Cambria Math" w:eastAsia="Calibri" w:hAnsi="Cambria Math" w:cs="Arial"/>
            <w:szCs w:val="18"/>
            <w:lang w:val="en-US"/>
          </w:rPr>
          <m:t>m</m:t>
        </m:r>
      </m:oMath>
      <w:r w:rsidRPr="00C966CF">
        <w:rPr>
          <w:rFonts w:eastAsia="Calibri" w:cs="Arial"/>
          <w:szCs w:val="18"/>
          <w:lang w:val="en-US"/>
        </w:rPr>
        <w:t xml:space="preserve"> is the mass of the biosorbent (g). </w:t>
      </w:r>
      <w:bookmarkEnd w:id="1"/>
    </w:p>
    <w:p w14:paraId="51B940A6" w14:textId="27C8F7D5" w:rsidR="00C966CF" w:rsidRPr="00C966CF" w:rsidRDefault="00C966CF" w:rsidP="00C966CF">
      <w:pPr>
        <w:tabs>
          <w:tab w:val="clear" w:pos="7100"/>
        </w:tabs>
        <w:spacing w:after="200" w:line="276" w:lineRule="auto"/>
        <w:rPr>
          <w:rFonts w:eastAsia="Calibri" w:cs="Arial"/>
          <w:szCs w:val="18"/>
          <w:lang w:val="en-US"/>
        </w:rPr>
      </w:pPr>
      <w:r w:rsidRPr="00C966CF">
        <w:rPr>
          <w:rFonts w:eastAsia="Calibri" w:cs="Arial"/>
          <w:szCs w:val="18"/>
          <w:lang w:val="en-US"/>
        </w:rPr>
        <w:t xml:space="preserve">The Langmuir model was represented in the following form: </w:t>
      </w:r>
    </w:p>
    <w:p w14:paraId="4AF20575" w14:textId="77777777" w:rsidR="00C966CF" w:rsidRPr="00C966CF" w:rsidRDefault="00000000" w:rsidP="00C966CF">
      <w:pPr>
        <w:tabs>
          <w:tab w:val="clear" w:pos="7100"/>
        </w:tabs>
        <w:spacing w:after="200" w:line="276" w:lineRule="auto"/>
        <w:rPr>
          <w:rFonts w:eastAsia="Calibri" w:cs="Arial"/>
          <w:szCs w:val="18"/>
          <w:lang w:val="en-US"/>
        </w:rPr>
      </w:pPr>
      <m:oMathPara>
        <m:oMath>
          <m:f>
            <m:fPr>
              <m:ctrlPr>
                <w:rPr>
                  <w:rFonts w:ascii="Cambria Math" w:eastAsia="Calibri" w:hAnsi="Cambria Math" w:cs="Arial"/>
                  <w:i/>
                  <w:szCs w:val="18"/>
                  <w:lang w:val="en-US"/>
                </w:rPr>
              </m:ctrlPr>
            </m:fPr>
            <m:num>
              <m:r>
                <w:rPr>
                  <w:rFonts w:ascii="Cambria Math" w:eastAsia="Calibri" w:hAnsi="Cambria Math" w:cs="Arial"/>
                  <w:szCs w:val="18"/>
                  <w:lang w:val="en-US"/>
                </w:rPr>
                <m:t>1</m:t>
              </m:r>
            </m:num>
            <m:den>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den>
          </m:f>
          <m:r>
            <w:rPr>
              <w:rFonts w:ascii="Cambria Math" w:eastAsia="Calibri" w:hAnsi="Cambria Math" w:cs="Arial"/>
              <w:szCs w:val="18"/>
              <w:lang w:val="en-US"/>
            </w:rPr>
            <m:t>=</m:t>
          </m:r>
          <m:d>
            <m:dPr>
              <m:ctrlPr>
                <w:rPr>
                  <w:rFonts w:ascii="Cambria Math" w:eastAsia="Calibri" w:hAnsi="Cambria Math" w:cs="Arial"/>
                  <w:i/>
                  <w:szCs w:val="18"/>
                  <w:lang w:val="en-US"/>
                </w:rPr>
              </m:ctrlPr>
            </m:dPr>
            <m:e>
              <m:f>
                <m:fPr>
                  <m:ctrlPr>
                    <w:rPr>
                      <w:rFonts w:ascii="Cambria Math" w:eastAsia="Calibri" w:hAnsi="Cambria Math" w:cs="Arial"/>
                      <w:i/>
                      <w:szCs w:val="18"/>
                      <w:lang w:val="en-US"/>
                    </w:rPr>
                  </m:ctrlPr>
                </m:fPr>
                <m:num>
                  <m:r>
                    <w:rPr>
                      <w:rFonts w:ascii="Cambria Math" w:eastAsia="Calibri" w:hAnsi="Cambria Math" w:cs="Arial"/>
                      <w:szCs w:val="18"/>
                      <w:lang w:val="en-US"/>
                    </w:rPr>
                    <m:t>1</m:t>
                  </m:r>
                </m:num>
                <m:den>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max</m:t>
                      </m:r>
                    </m:sub>
                  </m:sSub>
                </m:den>
              </m:f>
            </m:e>
          </m:d>
          <m:r>
            <w:rPr>
              <w:rFonts w:ascii="Cambria Math" w:eastAsia="Calibri" w:hAnsi="Cambria Math" w:cs="Arial"/>
              <w:szCs w:val="18"/>
              <w:lang w:val="en-US"/>
            </w:rPr>
            <m:t xml:space="preserve"> + </m:t>
          </m:r>
          <m:d>
            <m:dPr>
              <m:ctrlPr>
                <w:rPr>
                  <w:rFonts w:ascii="Cambria Math" w:eastAsia="Calibri" w:hAnsi="Cambria Math" w:cs="Arial"/>
                  <w:i/>
                  <w:szCs w:val="18"/>
                  <w:lang w:val="en-US"/>
                </w:rPr>
              </m:ctrlPr>
            </m:dPr>
            <m:e>
              <m:f>
                <m:fPr>
                  <m:ctrlPr>
                    <w:rPr>
                      <w:rFonts w:ascii="Cambria Math" w:eastAsia="Calibri" w:hAnsi="Cambria Math" w:cs="Arial"/>
                      <w:i/>
                      <w:szCs w:val="18"/>
                      <w:lang w:val="en-US"/>
                    </w:rPr>
                  </m:ctrlPr>
                </m:fPr>
                <m:num>
                  <m:r>
                    <w:rPr>
                      <w:rFonts w:ascii="Cambria Math" w:eastAsia="Calibri" w:hAnsi="Cambria Math" w:cs="Arial"/>
                      <w:szCs w:val="18"/>
                      <w:lang w:val="en-US"/>
                    </w:rPr>
                    <m:t>1</m:t>
                  </m:r>
                </m:num>
                <m:den>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max</m:t>
                      </m:r>
                    </m:sub>
                  </m:sSub>
                  <m:r>
                    <w:rPr>
                      <w:rFonts w:ascii="Cambria Math" w:eastAsia="Calibri" w:hAnsi="Cambria Math" w:cs="Arial"/>
                      <w:szCs w:val="18"/>
                      <w:lang w:val="en-US"/>
                    </w:rPr>
                    <m:t xml:space="preserve"> . </m:t>
                  </m:r>
                  <w:bookmarkStart w:id="2" w:name="_Hlk117543903"/>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L</m:t>
                      </m:r>
                    </m:sub>
                  </m:sSub>
                  <w:bookmarkEnd w:id="2"/>
                </m:den>
              </m:f>
            </m:e>
          </m:d>
        </m:oMath>
      </m:oMathPara>
    </w:p>
    <w:p w14:paraId="41C83B96" w14:textId="77777777" w:rsidR="00C966CF" w:rsidRPr="00C966CF" w:rsidRDefault="00C966CF" w:rsidP="00C966CF">
      <w:pPr>
        <w:tabs>
          <w:tab w:val="clear" w:pos="7100"/>
        </w:tabs>
        <w:spacing w:after="200" w:line="276" w:lineRule="auto"/>
        <w:rPr>
          <w:rFonts w:eastAsia="Calibri" w:cs="Arial"/>
          <w:szCs w:val="18"/>
          <w:lang w:val="en-US"/>
        </w:rPr>
      </w:pP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t xml:space="preserve">          (2)</w:t>
      </w:r>
    </w:p>
    <w:p w14:paraId="1557F152" w14:textId="77777777" w:rsidR="00121363" w:rsidRDefault="00C966CF" w:rsidP="00C966CF">
      <w:pPr>
        <w:tabs>
          <w:tab w:val="clear" w:pos="7100"/>
        </w:tabs>
        <w:spacing w:after="200" w:line="276" w:lineRule="auto"/>
        <w:rPr>
          <w:rFonts w:eastAsia="Calibri" w:cs="Arial"/>
          <w:szCs w:val="18"/>
          <w:lang w:val="en-US"/>
        </w:rPr>
      </w:pPr>
      <w:r w:rsidRPr="00C966CF">
        <w:rPr>
          <w:rFonts w:eastAsia="Calibri" w:cs="Arial"/>
          <w:szCs w:val="18"/>
          <w:lang w:val="en-US"/>
        </w:rPr>
        <w:lastRenderedPageBreak/>
        <w:t xml:space="preserve">where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oMath>
      <w:r w:rsidRPr="00C966CF">
        <w:rPr>
          <w:rFonts w:eastAsia="Calibri" w:cs="Arial"/>
          <w:szCs w:val="18"/>
          <w:lang w:val="en-US"/>
        </w:rPr>
        <w:t xml:space="preserve"> is</w:t>
      </w:r>
      <w:r w:rsidR="00B52A72" w:rsidRPr="00C966CF">
        <w:rPr>
          <w:rFonts w:eastAsia="Calibri" w:cs="Arial"/>
          <w:szCs w:val="18"/>
          <w:lang w:val="en-US"/>
        </w:rPr>
        <w:t xml:space="preserve"> the amount of adsorbed metal (mg/g)</w:t>
      </w:r>
      <w:r w:rsidR="00B52A72">
        <w:rPr>
          <w:rFonts w:eastAsia="Calibri" w:cs="Arial"/>
          <w:szCs w:val="18"/>
          <w:lang w:val="en-US"/>
        </w:rPr>
        <w:t xml:space="preserve"> at equilibrium</w:t>
      </w:r>
      <w:r w:rsidRPr="00C966CF">
        <w:rPr>
          <w:rFonts w:eastAsia="Calibri" w:cs="Arial"/>
          <w:szCs w:val="18"/>
          <w:lang w:val="en-US"/>
        </w:rPr>
        <w:t xml:space="preserve"> (mg/g),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max</m:t>
            </m:r>
          </m:sub>
        </m:sSub>
      </m:oMath>
      <w:r w:rsidRPr="00C966CF">
        <w:rPr>
          <w:rFonts w:eastAsia="Calibri" w:cs="Arial"/>
          <w:szCs w:val="18"/>
          <w:lang w:val="en-US"/>
        </w:rPr>
        <w:t xml:space="preserve"> and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L</m:t>
            </m:r>
          </m:sub>
        </m:sSub>
      </m:oMath>
      <w:r w:rsidRPr="00C966CF">
        <w:rPr>
          <w:rFonts w:eastAsia="Calibri" w:cs="Arial"/>
          <w:szCs w:val="18"/>
          <w:lang w:val="en-US"/>
        </w:rPr>
        <w:t xml:space="preserve"> are Langmuir isotherm constants which are related to the maximum monolayer sorption capacity (mg/g) and energy or net enthalpy of adsorption (L/mg), respectively.</w:t>
      </w:r>
    </w:p>
    <w:p w14:paraId="32D654F1" w14:textId="591BAA0F" w:rsidR="00C966CF" w:rsidRPr="00C966CF" w:rsidRDefault="00C966CF" w:rsidP="00C966CF">
      <w:pPr>
        <w:tabs>
          <w:tab w:val="clear" w:pos="7100"/>
        </w:tabs>
        <w:spacing w:after="200" w:line="276" w:lineRule="auto"/>
        <w:rPr>
          <w:rFonts w:eastAsia="Calibri" w:cs="Arial"/>
          <w:szCs w:val="18"/>
          <w:lang w:val="en-US"/>
        </w:rPr>
      </w:pPr>
      <w:r w:rsidRPr="00C966CF">
        <w:rPr>
          <w:rFonts w:eastAsia="Calibri" w:cs="Arial"/>
          <w:szCs w:val="18"/>
          <w:lang w:val="en-US"/>
        </w:rPr>
        <w:t xml:space="preserve">The Freundlich model was represented in the following form:  </w:t>
      </w:r>
    </w:p>
    <w:p w14:paraId="6385729F" w14:textId="77777777" w:rsidR="00C966CF" w:rsidRPr="00C966CF" w:rsidRDefault="00000000" w:rsidP="00C966CF">
      <w:pPr>
        <w:tabs>
          <w:tab w:val="clear" w:pos="7100"/>
        </w:tabs>
        <w:spacing w:after="200" w:line="276" w:lineRule="auto"/>
        <w:rPr>
          <w:rFonts w:eastAsia="Calibri" w:cs="Arial"/>
          <w:szCs w:val="18"/>
          <w:lang w:val="en-US"/>
        </w:rPr>
      </w:pPr>
      <m:oMathPara>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r>
            <w:rPr>
              <w:rFonts w:ascii="Cambria Math" w:eastAsia="Calibri" w:hAnsi="Cambria Math" w:cs="Arial"/>
              <w:szCs w:val="18"/>
              <w:lang w:val="en-US"/>
            </w:rPr>
            <m:t>=</m:t>
          </m:r>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f</m:t>
              </m:r>
            </m:sub>
          </m:sSub>
          <m:sSubSup>
            <m:sSubSupPr>
              <m:ctrlPr>
                <w:rPr>
                  <w:rFonts w:ascii="Cambria Math" w:eastAsia="Calibri" w:hAnsi="Cambria Math" w:cs="Arial"/>
                  <w:i/>
                  <w:szCs w:val="18"/>
                  <w:lang w:val="en-US"/>
                </w:rPr>
              </m:ctrlPr>
            </m:sSubSupPr>
            <m:e>
              <m:r>
                <w:rPr>
                  <w:rFonts w:ascii="Cambria Math" w:eastAsia="Calibri" w:hAnsi="Cambria Math" w:cs="Arial"/>
                  <w:szCs w:val="18"/>
                  <w:lang w:val="en-US"/>
                </w:rPr>
                <m:t>C</m:t>
              </m:r>
            </m:e>
            <m:sub>
              <m:r>
                <w:rPr>
                  <w:rFonts w:ascii="Cambria Math" w:eastAsia="Calibri" w:hAnsi="Cambria Math" w:cs="Arial"/>
                  <w:szCs w:val="18"/>
                  <w:lang w:val="en-US"/>
                </w:rPr>
                <m:t>e</m:t>
              </m:r>
            </m:sub>
            <m:sup>
              <m:r>
                <w:rPr>
                  <w:rFonts w:ascii="Cambria Math" w:eastAsia="Calibri" w:hAnsi="Cambria Math" w:cs="Arial"/>
                  <w:szCs w:val="18"/>
                  <w:lang w:val="en-US"/>
                </w:rPr>
                <m:t>1/n</m:t>
              </m:r>
            </m:sup>
          </m:sSubSup>
        </m:oMath>
      </m:oMathPara>
    </w:p>
    <w:p w14:paraId="118B2C22" w14:textId="77777777" w:rsidR="00C966CF" w:rsidRPr="00C966CF" w:rsidRDefault="00C966CF" w:rsidP="00C966CF">
      <w:pPr>
        <w:tabs>
          <w:tab w:val="clear" w:pos="7100"/>
        </w:tabs>
        <w:spacing w:line="240" w:lineRule="auto"/>
        <w:jc w:val="left"/>
        <w:rPr>
          <w:rFonts w:ascii="Calibri" w:eastAsia="Calibri" w:hAnsi="Calibri"/>
          <w:sz w:val="22"/>
          <w:szCs w:val="22"/>
          <w:lang w:val="en-US"/>
        </w:rPr>
      </w:pP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r>
      <w:r w:rsidRPr="00C966CF">
        <w:rPr>
          <w:rFonts w:ascii="Calibri" w:eastAsia="Calibri" w:hAnsi="Calibri"/>
          <w:sz w:val="22"/>
          <w:szCs w:val="22"/>
          <w:lang w:val="en-US"/>
        </w:rPr>
        <w:tab/>
        <w:t xml:space="preserve">          (3)</w:t>
      </w:r>
    </w:p>
    <w:p w14:paraId="2328DD2F" w14:textId="2C00F102" w:rsidR="00C966CF" w:rsidRPr="00C966CF" w:rsidRDefault="00C966CF" w:rsidP="00C966CF">
      <w:pPr>
        <w:tabs>
          <w:tab w:val="clear" w:pos="7100"/>
        </w:tabs>
        <w:spacing w:after="200" w:line="276" w:lineRule="auto"/>
        <w:rPr>
          <w:rFonts w:eastAsia="Calibri" w:cs="Arial"/>
          <w:szCs w:val="18"/>
          <w:lang w:val="en-US"/>
        </w:rPr>
      </w:pPr>
      <w:r w:rsidRPr="00C966CF">
        <w:rPr>
          <w:rFonts w:eastAsia="Calibri" w:cs="Arial"/>
          <w:szCs w:val="18"/>
          <w:lang w:val="en-US"/>
        </w:rPr>
        <w:t xml:space="preserve">where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oMath>
      <w:r w:rsidRPr="00C966CF">
        <w:rPr>
          <w:rFonts w:eastAsia="Calibri" w:cs="Arial"/>
          <w:szCs w:val="18"/>
          <w:lang w:val="en-US"/>
        </w:rPr>
        <w:t xml:space="preserve"> </w:t>
      </w:r>
      <w:bookmarkStart w:id="3" w:name="_Hlk127521263"/>
      <w:r w:rsidRPr="00C966CF">
        <w:rPr>
          <w:rFonts w:eastAsia="Calibri" w:cs="Arial"/>
          <w:szCs w:val="18"/>
          <w:lang w:val="en-US"/>
        </w:rPr>
        <w:t>is the amount of adsorbed metal (mg/g)</w:t>
      </w:r>
      <w:r w:rsidR="00B52A72">
        <w:rPr>
          <w:rFonts w:eastAsia="Calibri" w:cs="Arial"/>
          <w:szCs w:val="18"/>
          <w:lang w:val="en-US"/>
        </w:rPr>
        <w:t xml:space="preserve"> at equilibrium</w:t>
      </w:r>
      <w:bookmarkEnd w:id="3"/>
      <w:r w:rsidRPr="00C966CF">
        <w:rPr>
          <w:rFonts w:eastAsia="Calibri" w:cs="Arial"/>
          <w:szCs w:val="18"/>
          <w:lang w:val="en-US"/>
        </w:rPr>
        <w:t xml:space="preserve">,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C</m:t>
            </m:r>
          </m:e>
          <m:sub>
            <m:r>
              <w:rPr>
                <w:rFonts w:ascii="Cambria Math" w:eastAsia="Calibri" w:hAnsi="Cambria Math" w:cs="Arial"/>
                <w:szCs w:val="18"/>
                <w:lang w:val="en-US"/>
              </w:rPr>
              <m:t>e</m:t>
            </m:r>
          </m:sub>
        </m:sSub>
      </m:oMath>
      <w:r w:rsidRPr="00C966CF">
        <w:rPr>
          <w:rFonts w:eastAsia="Calibri" w:cs="Arial"/>
          <w:szCs w:val="18"/>
          <w:lang w:val="en-US"/>
        </w:rPr>
        <w:t xml:space="preserve"> is the equilibrium concentration of the metal in solution (mg/L),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f</m:t>
            </m:r>
          </m:sub>
        </m:sSub>
      </m:oMath>
      <w:r w:rsidRPr="00C966CF">
        <w:rPr>
          <w:rFonts w:eastAsia="Calibri" w:cs="Arial"/>
          <w:szCs w:val="18"/>
          <w:lang w:val="en-US"/>
        </w:rPr>
        <w:t xml:space="preserve"> and </w:t>
      </w:r>
      <m:oMath>
        <m:r>
          <w:rPr>
            <w:rFonts w:ascii="Cambria Math" w:eastAsia="Calibri" w:hAnsi="Cambria Math" w:cs="Arial"/>
            <w:szCs w:val="18"/>
            <w:lang w:val="en-US"/>
          </w:rPr>
          <m:t>n</m:t>
        </m:r>
      </m:oMath>
      <w:r w:rsidRPr="00C966CF">
        <w:rPr>
          <w:rFonts w:eastAsia="Calibri" w:cs="Arial"/>
          <w:szCs w:val="18"/>
          <w:lang w:val="en-US"/>
        </w:rPr>
        <w:t xml:space="preserve"> are Freundlich isotherm constants which are related to biosorption capacity (mg/g) and biosorption intensity respectively.</w:t>
      </w:r>
    </w:p>
    <w:p w14:paraId="71BA1CD4" w14:textId="77777777" w:rsidR="00C966CF" w:rsidRPr="00C966CF" w:rsidRDefault="00C966CF" w:rsidP="00E77CD4">
      <w:pPr>
        <w:pStyle w:val="NoSpacing"/>
        <w:rPr>
          <w:rFonts w:eastAsia="Calibri"/>
          <w:lang w:val="en-US"/>
        </w:rPr>
      </w:pPr>
    </w:p>
    <w:p w14:paraId="0BF0D92B" w14:textId="77777777" w:rsidR="00C966CF" w:rsidRPr="00C966CF" w:rsidRDefault="00C966CF" w:rsidP="00C966CF">
      <w:pPr>
        <w:tabs>
          <w:tab w:val="clear" w:pos="7100"/>
        </w:tabs>
        <w:spacing w:after="200" w:line="276" w:lineRule="auto"/>
        <w:rPr>
          <w:rFonts w:eastAsia="Calibri" w:cs="Arial"/>
          <w:b/>
          <w:bCs/>
          <w:szCs w:val="18"/>
          <w:lang w:val="en-US"/>
        </w:rPr>
      </w:pPr>
      <w:r w:rsidRPr="00C966CF">
        <w:rPr>
          <w:rFonts w:eastAsia="Calibri" w:cs="Arial"/>
          <w:b/>
          <w:bCs/>
          <w:szCs w:val="18"/>
          <w:lang w:val="en-US"/>
        </w:rPr>
        <w:t>2.5. Adsorption kinetics</w:t>
      </w:r>
    </w:p>
    <w:p w14:paraId="0B015861" w14:textId="59597F67" w:rsidR="00C966CF" w:rsidRPr="00C966CF" w:rsidRDefault="00C966CF" w:rsidP="00795105">
      <w:pPr>
        <w:tabs>
          <w:tab w:val="clear" w:pos="7100"/>
        </w:tabs>
        <w:spacing w:after="200" w:line="276" w:lineRule="auto"/>
        <w:rPr>
          <w:rFonts w:eastAsia="Calibri" w:cs="Arial"/>
          <w:szCs w:val="18"/>
          <w:lang w:val="en-US"/>
        </w:rPr>
      </w:pPr>
      <w:r w:rsidRPr="00C966CF">
        <w:rPr>
          <w:rFonts w:eastAsia="Calibri" w:cs="Arial"/>
          <w:szCs w:val="18"/>
          <w:lang w:val="en-US"/>
        </w:rPr>
        <w:t>Biosorption kinetics studies are paramount for providing valuable insights into reaction pathways and mechanisms in which adsorption reactions occur.  In this study, the kinetics of Pd (II) onto P41C was studied using the pseudo-first and pseudo-second order adsorption kinetic models.</w:t>
      </w:r>
      <w:r w:rsidR="00121363">
        <w:rPr>
          <w:rFonts w:eastAsia="Calibri" w:cs="Arial"/>
          <w:szCs w:val="18"/>
          <w:lang w:val="en-US"/>
        </w:rPr>
        <w:t xml:space="preserve">  </w:t>
      </w:r>
      <w:r w:rsidRPr="00C966CF">
        <w:rPr>
          <w:rFonts w:eastAsia="Calibri" w:cs="Arial"/>
          <w:szCs w:val="18"/>
          <w:lang w:val="en-US"/>
        </w:rPr>
        <w:t xml:space="preserve">The pseudo-first-order </w:t>
      </w:r>
      <w:r w:rsidR="00F278CF">
        <w:rPr>
          <w:rFonts w:eastAsia="Calibri" w:cs="Arial"/>
          <w:szCs w:val="18"/>
          <w:lang w:val="en-US"/>
        </w:rPr>
        <w:t xml:space="preserve">kinetic model </w:t>
      </w:r>
      <w:r w:rsidRPr="00C966CF">
        <w:rPr>
          <w:rFonts w:eastAsia="Calibri" w:cs="Arial"/>
          <w:szCs w:val="18"/>
          <w:lang w:val="en-US"/>
        </w:rPr>
        <w:t>is expressed as follows:</w:t>
      </w:r>
    </w:p>
    <w:p w14:paraId="4DA82F9E" w14:textId="77777777" w:rsidR="00C966CF" w:rsidRPr="00C966CF" w:rsidRDefault="00000000" w:rsidP="00C966CF">
      <w:pPr>
        <w:tabs>
          <w:tab w:val="clear" w:pos="7100"/>
        </w:tabs>
        <w:autoSpaceDE w:val="0"/>
        <w:autoSpaceDN w:val="0"/>
        <w:adjustRightInd w:val="0"/>
        <w:spacing w:line="276" w:lineRule="auto"/>
        <w:rPr>
          <w:rFonts w:eastAsia="Calibri" w:cs="Arial"/>
          <w:szCs w:val="18"/>
          <w:lang w:val="en-US"/>
        </w:rPr>
      </w:pPr>
      <m:oMathPara>
        <m:oMath>
          <m:f>
            <m:fPr>
              <m:ctrlPr>
                <w:rPr>
                  <w:rFonts w:ascii="Cambria Math" w:eastAsia="Calibri" w:hAnsi="Cambria Math" w:cs="Arial"/>
                  <w:i/>
                  <w:szCs w:val="18"/>
                  <w:lang w:val="en-US"/>
                </w:rPr>
              </m:ctrlPr>
            </m:fPr>
            <m:num>
              <m:r>
                <w:rPr>
                  <w:rFonts w:ascii="Cambria Math" w:eastAsia="Calibri" w:hAnsi="Cambria Math" w:cs="Arial"/>
                  <w:szCs w:val="18"/>
                  <w:lang w:val="en-US"/>
                </w:rPr>
                <m:t>d</m:t>
              </m:r>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t</m:t>
                  </m:r>
                </m:sub>
              </m:sSub>
            </m:num>
            <m:den>
              <m:r>
                <w:rPr>
                  <w:rFonts w:ascii="Cambria Math" w:eastAsia="Calibri" w:hAnsi="Cambria Math" w:cs="Arial"/>
                  <w:szCs w:val="18"/>
                  <w:lang w:val="en-US"/>
                </w:rPr>
                <m:t>dt</m:t>
              </m:r>
            </m:den>
          </m:f>
          <m:r>
            <w:rPr>
              <w:rFonts w:ascii="Cambria Math" w:eastAsia="Calibri" w:hAnsi="Cambria Math" w:cs="Arial"/>
              <w:szCs w:val="18"/>
              <w:lang w:val="en-US"/>
            </w:rPr>
            <m:t xml:space="preserve">= </m:t>
          </m:r>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1</m:t>
              </m:r>
            </m:sub>
          </m:sSub>
          <m:r>
            <w:rPr>
              <w:rFonts w:ascii="Cambria Math" w:eastAsia="Calibri" w:hAnsi="Cambria Math" w:cs="Arial"/>
              <w:szCs w:val="18"/>
              <w:lang w:val="en-US"/>
            </w:rPr>
            <m:t>(</m:t>
          </m:r>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r>
            <w:rPr>
              <w:rFonts w:ascii="Cambria Math" w:eastAsia="Calibri" w:hAnsi="Cambria Math" w:cs="Arial"/>
              <w:szCs w:val="18"/>
              <w:lang w:val="en-US"/>
            </w:rPr>
            <m:t xml:space="preserve">- </m:t>
          </m:r>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t</m:t>
              </m:r>
            </m:sub>
          </m:sSub>
          <m:r>
            <w:rPr>
              <w:rFonts w:ascii="Cambria Math" w:eastAsia="Calibri" w:hAnsi="Cambria Math" w:cs="Arial"/>
              <w:szCs w:val="18"/>
              <w:lang w:val="en-US"/>
            </w:rPr>
            <m:t>)</m:t>
          </m:r>
        </m:oMath>
      </m:oMathPara>
    </w:p>
    <w:p w14:paraId="4837AAF2" w14:textId="77777777" w:rsidR="00C966CF" w:rsidRPr="00C966CF" w:rsidRDefault="00C966CF" w:rsidP="00C966CF">
      <w:pPr>
        <w:tabs>
          <w:tab w:val="clear" w:pos="7100"/>
        </w:tabs>
        <w:autoSpaceDE w:val="0"/>
        <w:autoSpaceDN w:val="0"/>
        <w:adjustRightInd w:val="0"/>
        <w:spacing w:line="276" w:lineRule="auto"/>
        <w:rPr>
          <w:rFonts w:eastAsia="Calibri" w:cs="Arial"/>
          <w:szCs w:val="18"/>
          <w:lang w:val="en-US"/>
        </w:rPr>
      </w:pP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t xml:space="preserve">          (4)</w:t>
      </w:r>
    </w:p>
    <w:p w14:paraId="61E53B96" w14:textId="77777777" w:rsidR="00121363" w:rsidRDefault="00C966CF" w:rsidP="00C966CF">
      <w:pPr>
        <w:tabs>
          <w:tab w:val="clear" w:pos="7100"/>
        </w:tabs>
        <w:autoSpaceDE w:val="0"/>
        <w:autoSpaceDN w:val="0"/>
        <w:adjustRightInd w:val="0"/>
        <w:spacing w:line="276" w:lineRule="auto"/>
        <w:rPr>
          <w:rFonts w:eastAsia="Calibri" w:cs="Arial"/>
          <w:szCs w:val="18"/>
          <w:lang w:val="en-US"/>
        </w:rPr>
      </w:pPr>
      <w:r w:rsidRPr="00C966CF">
        <w:rPr>
          <w:rFonts w:eastAsia="Calibri" w:cs="Arial"/>
          <w:szCs w:val="18"/>
          <w:lang w:val="en-US"/>
        </w:rPr>
        <w:t xml:space="preserve">where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t</m:t>
            </m:r>
          </m:sub>
        </m:sSub>
      </m:oMath>
      <w:r w:rsidRPr="00C966CF">
        <w:rPr>
          <w:rFonts w:eastAsia="Calibri" w:cs="Arial"/>
          <w:szCs w:val="18"/>
          <w:lang w:val="en-US"/>
        </w:rPr>
        <w:t xml:space="preserve"> is the concentration of metal ion species on the biosorbent at time </w:t>
      </w:r>
      <m:oMath>
        <m:r>
          <w:rPr>
            <w:rFonts w:ascii="Cambria Math" w:eastAsia="Calibri" w:hAnsi="Cambria Math" w:cs="Arial"/>
            <w:szCs w:val="18"/>
            <w:lang w:val="en-US"/>
          </w:rPr>
          <m:t>t</m:t>
        </m:r>
      </m:oMath>
      <w:r w:rsidRPr="00C966CF">
        <w:rPr>
          <w:rFonts w:eastAsia="Calibri" w:cs="Arial"/>
          <w:szCs w:val="18"/>
          <w:lang w:val="en-US"/>
        </w:rPr>
        <w:t xml:space="preserve"> (mg/g),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oMath>
      <w:r w:rsidRPr="00C966CF">
        <w:rPr>
          <w:rFonts w:eastAsia="Calibri" w:cs="Arial"/>
          <w:szCs w:val="18"/>
          <w:lang w:val="en-US"/>
        </w:rPr>
        <w:t xml:space="preserve"> is the concentration of the metal at equilibrium (mg/g) and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1</m:t>
            </m:r>
          </m:sub>
        </m:sSub>
      </m:oMath>
      <w:r w:rsidRPr="00C966CF">
        <w:rPr>
          <w:rFonts w:eastAsia="Calibri" w:cs="Arial"/>
          <w:szCs w:val="18"/>
          <w:lang w:val="en-US"/>
        </w:rPr>
        <w:t xml:space="preserve"> is the equilibrium biosorption constant of pseudo-first-order (1/min).</w:t>
      </w:r>
      <w:r w:rsidR="00121363">
        <w:rPr>
          <w:rFonts w:eastAsia="Calibri" w:cs="Arial"/>
          <w:szCs w:val="18"/>
          <w:lang w:val="en-US"/>
        </w:rPr>
        <w:t xml:space="preserve">  </w:t>
      </w:r>
    </w:p>
    <w:p w14:paraId="590360C9" w14:textId="178EF1F6" w:rsidR="00C966CF" w:rsidRPr="00C966CF" w:rsidRDefault="00C966CF" w:rsidP="00C966CF">
      <w:pPr>
        <w:tabs>
          <w:tab w:val="clear" w:pos="7100"/>
        </w:tabs>
        <w:autoSpaceDE w:val="0"/>
        <w:autoSpaceDN w:val="0"/>
        <w:adjustRightInd w:val="0"/>
        <w:spacing w:line="276" w:lineRule="auto"/>
        <w:rPr>
          <w:rFonts w:eastAsia="Calibri" w:cs="Arial"/>
          <w:szCs w:val="18"/>
          <w:lang w:val="en-US"/>
        </w:rPr>
      </w:pPr>
      <w:r w:rsidRPr="00C966CF">
        <w:rPr>
          <w:rFonts w:eastAsia="Calibri" w:cs="Arial"/>
          <w:szCs w:val="18"/>
          <w:lang w:val="en-US"/>
        </w:rPr>
        <w:t xml:space="preserve">The pseudo-second-order kinetic model is expressed as follows: </w:t>
      </w:r>
    </w:p>
    <w:p w14:paraId="71A4D39C" w14:textId="77777777" w:rsidR="00C966CF" w:rsidRPr="00C966CF" w:rsidRDefault="00000000" w:rsidP="00C966CF">
      <w:pPr>
        <w:tabs>
          <w:tab w:val="clear" w:pos="7100"/>
        </w:tabs>
        <w:autoSpaceDE w:val="0"/>
        <w:autoSpaceDN w:val="0"/>
        <w:adjustRightInd w:val="0"/>
        <w:spacing w:line="276" w:lineRule="auto"/>
        <w:jc w:val="center"/>
        <w:rPr>
          <w:rFonts w:eastAsia="Calibri" w:cs="Arial"/>
          <w:szCs w:val="18"/>
          <w:lang w:val="en-US"/>
        </w:rPr>
      </w:pPr>
      <m:oMathPara>
        <m:oMath>
          <m:f>
            <m:fPr>
              <m:ctrlPr>
                <w:rPr>
                  <w:rFonts w:ascii="Cambria Math" w:eastAsia="Calibri" w:hAnsi="Cambria Math" w:cs="Arial"/>
                  <w:i/>
                  <w:szCs w:val="18"/>
                  <w:lang w:val="en-US"/>
                </w:rPr>
              </m:ctrlPr>
            </m:fPr>
            <m:num>
              <m:r>
                <w:rPr>
                  <w:rFonts w:ascii="Cambria Math" w:eastAsia="Calibri" w:hAnsi="Cambria Math" w:cs="Arial"/>
                  <w:szCs w:val="18"/>
                  <w:lang w:val="en-US"/>
                </w:rPr>
                <m:t>dq</m:t>
              </m:r>
            </m:num>
            <m:den>
              <m:r>
                <w:rPr>
                  <w:rFonts w:ascii="Cambria Math" w:eastAsia="Calibri" w:hAnsi="Cambria Math" w:cs="Arial"/>
                  <w:szCs w:val="18"/>
                  <w:lang w:val="en-US"/>
                </w:rPr>
                <m:t>dt</m:t>
              </m:r>
            </m:den>
          </m:f>
          <m:r>
            <w:rPr>
              <w:rFonts w:ascii="Cambria Math" w:eastAsia="Calibri" w:hAnsi="Cambria Math" w:cs="Arial"/>
              <w:szCs w:val="18"/>
              <w:lang w:val="en-US"/>
            </w:rPr>
            <m:t xml:space="preserve">= </m:t>
          </m:r>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2</m:t>
              </m:r>
            </m:sub>
          </m:sSub>
          <m:d>
            <m:dPr>
              <m:ctrlPr>
                <w:rPr>
                  <w:rFonts w:ascii="Cambria Math" w:eastAsia="Calibri" w:hAnsi="Cambria Math" w:cs="Arial"/>
                  <w:i/>
                  <w:szCs w:val="18"/>
                  <w:lang w:val="en-US"/>
                </w:rPr>
              </m:ctrlPr>
            </m:dPr>
            <m:e>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r>
                <w:rPr>
                  <w:rFonts w:ascii="Cambria Math" w:eastAsia="Calibri" w:hAnsi="Cambria Math" w:cs="Arial"/>
                  <w:szCs w:val="18"/>
                  <w:lang w:val="en-US"/>
                </w:rPr>
                <m:t>-</m:t>
              </m:r>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t</m:t>
                  </m:r>
                </m:sub>
              </m:sSub>
            </m:e>
          </m:d>
          <m:r>
            <w:rPr>
              <w:rFonts w:ascii="Cambria Math" w:eastAsia="Calibri" w:hAnsi="Cambria Math" w:cs="Arial"/>
              <w:szCs w:val="18"/>
              <w:lang w:val="en-US"/>
            </w:rPr>
            <m:t>2</m:t>
          </m:r>
        </m:oMath>
      </m:oMathPara>
    </w:p>
    <w:p w14:paraId="5B570AA5" w14:textId="77777777" w:rsidR="00C966CF" w:rsidRPr="00C966CF" w:rsidRDefault="00C966CF" w:rsidP="00C966CF">
      <w:pPr>
        <w:tabs>
          <w:tab w:val="clear" w:pos="7100"/>
        </w:tabs>
        <w:autoSpaceDE w:val="0"/>
        <w:autoSpaceDN w:val="0"/>
        <w:adjustRightInd w:val="0"/>
        <w:spacing w:line="276" w:lineRule="auto"/>
        <w:rPr>
          <w:rFonts w:eastAsia="Calibri" w:cs="Arial"/>
          <w:szCs w:val="18"/>
          <w:lang w:val="en-US"/>
        </w:rPr>
      </w:pP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r>
      <w:r w:rsidRPr="00C966CF">
        <w:rPr>
          <w:rFonts w:eastAsia="Calibri" w:cs="Arial"/>
          <w:szCs w:val="18"/>
          <w:lang w:val="en-US"/>
        </w:rPr>
        <w:tab/>
        <w:t xml:space="preserve">          (5)</w:t>
      </w:r>
    </w:p>
    <w:p w14:paraId="35404943" w14:textId="28DFA513" w:rsidR="00C966CF" w:rsidRDefault="00C966CF" w:rsidP="00C966CF">
      <w:pPr>
        <w:tabs>
          <w:tab w:val="clear" w:pos="7100"/>
        </w:tabs>
        <w:autoSpaceDE w:val="0"/>
        <w:autoSpaceDN w:val="0"/>
        <w:adjustRightInd w:val="0"/>
        <w:spacing w:line="276" w:lineRule="auto"/>
        <w:rPr>
          <w:rFonts w:eastAsia="Calibri" w:cs="Arial"/>
          <w:szCs w:val="18"/>
          <w:lang w:val="en-US"/>
        </w:rPr>
      </w:pPr>
      <w:r w:rsidRPr="00C966CF">
        <w:rPr>
          <w:rFonts w:eastAsia="Calibri" w:cs="Arial"/>
          <w:szCs w:val="18"/>
          <w:lang w:val="en-US"/>
        </w:rPr>
        <w:t>where</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 xml:space="preserve"> q</m:t>
            </m:r>
          </m:e>
          <m:sub>
            <m:r>
              <w:rPr>
                <w:rFonts w:ascii="Cambria Math" w:eastAsia="Calibri" w:hAnsi="Cambria Math" w:cs="Arial"/>
                <w:szCs w:val="18"/>
                <w:lang w:val="en-US"/>
              </w:rPr>
              <m:t>t</m:t>
            </m:r>
          </m:sub>
        </m:sSub>
      </m:oMath>
      <w:r w:rsidRPr="00C966CF">
        <w:rPr>
          <w:rFonts w:eastAsia="Calibri" w:cs="Arial"/>
          <w:szCs w:val="18"/>
          <w:lang w:val="en-US"/>
        </w:rPr>
        <w:t xml:space="preserve"> is the concentration of metal ion species on the biosorbent at time </w:t>
      </w:r>
      <m:oMath>
        <m:r>
          <w:rPr>
            <w:rFonts w:ascii="Cambria Math" w:eastAsia="Calibri" w:hAnsi="Cambria Math" w:cs="Arial"/>
            <w:szCs w:val="18"/>
            <w:lang w:val="en-US"/>
          </w:rPr>
          <m:t>t</m:t>
        </m:r>
      </m:oMath>
      <w:r w:rsidRPr="00C966CF">
        <w:rPr>
          <w:rFonts w:eastAsia="Calibri" w:cs="Arial"/>
          <w:szCs w:val="18"/>
          <w:lang w:val="en-US"/>
        </w:rPr>
        <w:t xml:space="preserve"> (mg/g),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oMath>
      <w:r w:rsidRPr="00C966CF">
        <w:rPr>
          <w:rFonts w:eastAsia="Calibri" w:cs="Arial"/>
          <w:szCs w:val="18"/>
          <w:lang w:val="en-US"/>
        </w:rPr>
        <w:t xml:space="preserve"> is the concentration of the metal at equilibrium (mg/g) and </w:t>
      </w:r>
      <m:oMath>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2</m:t>
            </m:r>
          </m:sub>
        </m:sSub>
      </m:oMath>
      <w:r w:rsidRPr="00C966CF">
        <w:rPr>
          <w:rFonts w:eastAsia="Calibri" w:cs="Arial"/>
          <w:szCs w:val="18"/>
          <w:lang w:val="en-US"/>
        </w:rPr>
        <w:t xml:space="preserve"> is the equilibrium biosorption constant of pseudo-second-order (g/mg/min).  </w:t>
      </w:r>
    </w:p>
    <w:p w14:paraId="26CCA145" w14:textId="1353A5F7" w:rsidR="00C966CF" w:rsidRDefault="00C966CF" w:rsidP="00E77CD4">
      <w:pPr>
        <w:pStyle w:val="NoSpacing"/>
        <w:rPr>
          <w:rFonts w:eastAsia="Calibri"/>
          <w:lang w:val="en-US"/>
        </w:rPr>
      </w:pPr>
    </w:p>
    <w:p w14:paraId="23A4F5AE" w14:textId="40E32DEA" w:rsidR="00E454FB" w:rsidRPr="00E77CD4" w:rsidRDefault="00C966CF" w:rsidP="00E77CD4">
      <w:pPr>
        <w:pStyle w:val="CETHeading1"/>
        <w:rPr>
          <w:rFonts w:eastAsia="Calibri"/>
        </w:rPr>
      </w:pPr>
      <w:r>
        <w:rPr>
          <w:rFonts w:eastAsia="Calibri"/>
        </w:rPr>
        <w:t>Results and discussion</w:t>
      </w:r>
    </w:p>
    <w:p w14:paraId="0A71E523" w14:textId="51EE9983" w:rsidR="00E454FB" w:rsidRPr="00E454FB" w:rsidRDefault="00E454FB" w:rsidP="00E454FB">
      <w:pPr>
        <w:tabs>
          <w:tab w:val="clear" w:pos="7100"/>
        </w:tabs>
        <w:spacing w:after="200" w:line="276" w:lineRule="auto"/>
        <w:rPr>
          <w:rFonts w:eastAsia="Calibri" w:cs="Arial"/>
          <w:b/>
          <w:bCs/>
          <w:szCs w:val="18"/>
          <w:lang w:val="en-US"/>
        </w:rPr>
      </w:pPr>
      <w:r w:rsidRPr="00E454FB">
        <w:rPr>
          <w:rFonts w:eastAsia="Calibri" w:cs="Arial"/>
          <w:b/>
          <w:bCs/>
          <w:szCs w:val="18"/>
          <w:lang w:val="en-US"/>
        </w:rPr>
        <w:t>3.</w:t>
      </w:r>
      <w:r>
        <w:rPr>
          <w:rFonts w:eastAsia="Calibri" w:cs="Arial"/>
          <w:b/>
          <w:bCs/>
          <w:szCs w:val="18"/>
          <w:lang w:val="en-US"/>
        </w:rPr>
        <w:t>1</w:t>
      </w:r>
      <w:r w:rsidRPr="00E454FB">
        <w:rPr>
          <w:rFonts w:eastAsia="Calibri" w:cs="Arial"/>
          <w:b/>
          <w:bCs/>
          <w:szCs w:val="18"/>
          <w:lang w:val="en-US"/>
        </w:rPr>
        <w:t xml:space="preserve"> Adsorption Isotherms</w:t>
      </w:r>
    </w:p>
    <w:p w14:paraId="549EC1B9" w14:textId="62F613A6" w:rsidR="00E454FB" w:rsidRPr="00E454FB" w:rsidRDefault="00E454FB" w:rsidP="00E454FB">
      <w:pPr>
        <w:tabs>
          <w:tab w:val="clear" w:pos="7100"/>
        </w:tabs>
        <w:spacing w:line="276" w:lineRule="auto"/>
        <w:rPr>
          <w:rFonts w:eastAsia="Calibri" w:cs="Arial"/>
          <w:szCs w:val="18"/>
          <w:lang w:val="en-US"/>
        </w:rPr>
      </w:pPr>
      <w:r w:rsidRPr="00E454FB">
        <w:rPr>
          <w:rFonts w:eastAsia="Calibri" w:cs="Arial"/>
          <w:color w:val="000000"/>
          <w:szCs w:val="18"/>
          <w:shd w:val="clear" w:color="auto" w:fill="FFFFFF"/>
          <w:lang w:val="en-US"/>
        </w:rPr>
        <w:t xml:space="preserve">Adsorption isotherms are derived from analysis of adsorption equilibrium data.  </w:t>
      </w:r>
      <w:r w:rsidR="00200862">
        <w:rPr>
          <w:rFonts w:eastAsia="Calibri" w:cs="Arial"/>
          <w:color w:val="000000"/>
          <w:szCs w:val="18"/>
          <w:shd w:val="clear" w:color="auto" w:fill="FFFFFF"/>
          <w:lang w:val="en-US"/>
        </w:rPr>
        <w:t>The equilibrium data</w:t>
      </w:r>
      <w:r w:rsidR="00200862" w:rsidRPr="00200862">
        <w:rPr>
          <w:rFonts w:eastAsia="Calibri" w:cs="Arial"/>
          <w:szCs w:val="18"/>
          <w:lang w:val="en-US"/>
        </w:rPr>
        <w:t xml:space="preserve"> </w:t>
      </w:r>
      <w:r w:rsidR="00200862" w:rsidRPr="00E454FB">
        <w:rPr>
          <w:rFonts w:eastAsia="Calibri" w:cs="Arial"/>
          <w:szCs w:val="18"/>
          <w:lang w:val="en-US"/>
        </w:rPr>
        <w:t>indicated that the biosorption capacity i.e. q</w:t>
      </w:r>
      <w:r w:rsidR="00200862" w:rsidRPr="00E454FB">
        <w:rPr>
          <w:rFonts w:eastAsia="Calibri" w:cs="Arial"/>
          <w:szCs w:val="18"/>
          <w:vertAlign w:val="subscript"/>
          <w:lang w:val="en-US"/>
        </w:rPr>
        <w:t>e</w:t>
      </w:r>
      <w:r w:rsidR="00200862" w:rsidRPr="00E454FB">
        <w:rPr>
          <w:rFonts w:eastAsia="Calibri" w:cs="Arial"/>
          <w:szCs w:val="18"/>
          <w:lang w:val="en-US"/>
        </w:rPr>
        <w:t xml:space="preserve"> (mg/g) of P41C for </w:t>
      </w:r>
      <w:r w:rsidR="00962379">
        <w:rPr>
          <w:rFonts w:eastAsia="Calibri" w:cs="Arial"/>
          <w:szCs w:val="18"/>
          <w:lang w:val="en-US"/>
        </w:rPr>
        <w:t>Pd (II)</w:t>
      </w:r>
      <w:r w:rsidR="00200862" w:rsidRPr="00E454FB">
        <w:rPr>
          <w:rFonts w:eastAsia="Calibri" w:cs="Arial"/>
          <w:szCs w:val="18"/>
          <w:lang w:val="en-US"/>
        </w:rPr>
        <w:t xml:space="preserve"> increased with the increase in metal concentration as previously mentioned in Mashangoane and Chirwa (2022)</w:t>
      </w:r>
      <w:r w:rsidR="00E160CF">
        <w:rPr>
          <w:rFonts w:eastAsia="Calibri" w:cs="Arial"/>
          <w:szCs w:val="18"/>
          <w:lang w:val="en-US"/>
        </w:rPr>
        <w:t xml:space="preserve">.  </w:t>
      </w:r>
      <w:r w:rsidR="00200862" w:rsidRPr="00E454FB">
        <w:rPr>
          <w:rFonts w:eastAsia="Calibri" w:cs="Arial"/>
          <w:szCs w:val="18"/>
          <w:lang w:val="en-ZA"/>
        </w:rPr>
        <w:t>The highest adsorption capacit</w:t>
      </w:r>
      <w:r w:rsidR="00CF0FCA">
        <w:rPr>
          <w:rFonts w:eastAsia="Calibri" w:cs="Arial"/>
          <w:szCs w:val="18"/>
          <w:lang w:val="en-ZA"/>
        </w:rPr>
        <w:t>ies</w:t>
      </w:r>
      <w:r w:rsidR="00200862" w:rsidRPr="00E454FB">
        <w:rPr>
          <w:rFonts w:eastAsia="Calibri" w:cs="Arial"/>
          <w:szCs w:val="18"/>
          <w:lang w:val="en-ZA"/>
        </w:rPr>
        <w:t xml:space="preserve"> obtained by P41C for the biosorption of </w:t>
      </w:r>
      <w:r w:rsidR="00962379">
        <w:rPr>
          <w:rFonts w:eastAsia="Calibri" w:cs="Arial"/>
          <w:szCs w:val="18"/>
          <w:lang w:val="en-ZA"/>
        </w:rPr>
        <w:t>Pd (II)</w:t>
      </w:r>
      <w:r w:rsidR="00200862" w:rsidRPr="00E454FB">
        <w:rPr>
          <w:rFonts w:eastAsia="Calibri" w:cs="Arial"/>
          <w:szCs w:val="18"/>
          <w:lang w:val="en-ZA"/>
        </w:rPr>
        <w:t xml:space="preserve"> at </w:t>
      </w:r>
      <w:r w:rsidR="00CF0FCA">
        <w:rPr>
          <w:rFonts w:eastAsia="Calibri" w:cs="Arial"/>
          <w:szCs w:val="18"/>
          <w:lang w:val="en-ZA"/>
        </w:rPr>
        <w:t xml:space="preserve">initial metal </w:t>
      </w:r>
      <w:r w:rsidR="00CF0FCA" w:rsidRPr="00E454FB">
        <w:rPr>
          <w:rFonts w:eastAsia="Calibri" w:cs="Arial"/>
          <w:color w:val="000000"/>
          <w:szCs w:val="18"/>
          <w:shd w:val="clear" w:color="auto" w:fill="FFFFFF"/>
          <w:lang w:val="en-US"/>
        </w:rPr>
        <w:t>concentrations of 10mg/l, 20mg/l, 30mg/l and 50 mg/l</w:t>
      </w:r>
      <w:r w:rsidR="00CF0FCA" w:rsidRPr="00E454FB">
        <w:rPr>
          <w:rFonts w:eastAsia="Calibri" w:cs="Arial"/>
          <w:szCs w:val="18"/>
          <w:lang w:val="en-ZA"/>
        </w:rPr>
        <w:t xml:space="preserve"> </w:t>
      </w:r>
      <w:r w:rsidR="00CF0FCA">
        <w:rPr>
          <w:rFonts w:eastAsia="Calibri" w:cs="Arial"/>
          <w:szCs w:val="18"/>
          <w:lang w:val="en-ZA"/>
        </w:rPr>
        <w:t xml:space="preserve"> were and </w:t>
      </w:r>
      <w:r w:rsidR="00F37CC6">
        <w:rPr>
          <w:rFonts w:eastAsia="Calibri" w:cs="Arial"/>
          <w:szCs w:val="18"/>
          <w:lang w:val="en-ZA"/>
        </w:rPr>
        <w:t xml:space="preserve">40 mg/g, 60 mg/m, 80 mg/g and </w:t>
      </w:r>
      <w:r w:rsidR="00200862" w:rsidRPr="00E454FB">
        <w:rPr>
          <w:rFonts w:eastAsia="Calibri" w:cs="Arial"/>
          <w:szCs w:val="18"/>
          <w:lang w:val="en-ZA"/>
        </w:rPr>
        <w:t xml:space="preserve">125mg/g </w:t>
      </w:r>
      <w:r w:rsidR="00F37CC6">
        <w:rPr>
          <w:rFonts w:eastAsia="Calibri" w:cs="Arial"/>
          <w:szCs w:val="18"/>
          <w:lang w:val="en-ZA"/>
        </w:rPr>
        <w:t>respectively</w:t>
      </w:r>
      <w:r w:rsidR="00E160CF">
        <w:rPr>
          <w:rFonts w:eastAsia="Calibri" w:cs="Arial"/>
          <w:szCs w:val="18"/>
          <w:lang w:val="en-ZA"/>
        </w:rPr>
        <w:t xml:space="preserve">.  </w:t>
      </w:r>
      <w:r w:rsidR="00200862" w:rsidRPr="00E454FB">
        <w:rPr>
          <w:rFonts w:eastAsia="Calibri" w:cs="Arial"/>
          <w:szCs w:val="18"/>
          <w:lang w:val="en-US"/>
        </w:rPr>
        <w:t xml:space="preserve">This is a clear indication that biosorption is dependent on the initial metal concentration of the metals.  According to Sudha </w:t>
      </w:r>
      <w:r w:rsidR="00200862" w:rsidRPr="00E454FB">
        <w:rPr>
          <w:rFonts w:eastAsia="Calibri" w:cs="Arial"/>
          <w:i/>
          <w:iCs/>
          <w:szCs w:val="18"/>
          <w:lang w:val="en-US"/>
        </w:rPr>
        <w:t>et al</w:t>
      </w:r>
      <w:r w:rsidR="00200862" w:rsidRPr="00E454FB">
        <w:rPr>
          <w:rFonts w:eastAsia="Calibri" w:cs="Arial"/>
          <w:szCs w:val="18"/>
          <w:lang w:val="en-US"/>
        </w:rPr>
        <w:t xml:space="preserve">. (2007), at lower metal concentration the ratio of the initial number of metal ions available to the adsorption sites is low; thus the low biosorption capacity of the adsorbent; whereas at higher metal concentration, the available adsorption sites become fewer; thus the dependence of biosorption capacity of P41C on the initial concentrations of </w:t>
      </w:r>
      <w:r w:rsidR="00962379">
        <w:rPr>
          <w:rFonts w:eastAsia="Calibri" w:cs="Arial"/>
          <w:szCs w:val="18"/>
          <w:lang w:val="en-US"/>
        </w:rPr>
        <w:t>Pd (II)</w:t>
      </w:r>
      <w:r w:rsidR="00E160CF">
        <w:rPr>
          <w:rFonts w:eastAsia="Calibri" w:cs="Arial"/>
          <w:szCs w:val="18"/>
          <w:lang w:val="en-US"/>
        </w:rPr>
        <w:t xml:space="preserve">.  </w:t>
      </w:r>
      <w:r w:rsidRPr="00E454FB">
        <w:rPr>
          <w:rFonts w:eastAsia="Calibri" w:cs="Arial"/>
          <w:color w:val="000000"/>
          <w:szCs w:val="18"/>
          <w:shd w:val="clear" w:color="auto" w:fill="FFFFFF"/>
          <w:lang w:val="en-US"/>
        </w:rPr>
        <w:t>The Freundlich and the Langmuir isotherms were utilized in this study to access the different isotherms and their ability to correlate the experimental data</w:t>
      </w:r>
      <w:r w:rsidR="00F93829">
        <w:rPr>
          <w:rFonts w:eastAsia="Calibri" w:cs="Arial"/>
          <w:color w:val="000000"/>
          <w:szCs w:val="18"/>
          <w:shd w:val="clear" w:color="auto" w:fill="FFFFFF"/>
          <w:lang w:val="en-US"/>
        </w:rPr>
        <w:t xml:space="preserve">.  </w:t>
      </w:r>
      <w:r w:rsidRPr="00E454FB">
        <w:rPr>
          <w:rFonts w:eastAsia="Calibri" w:cs="Arial"/>
          <w:color w:val="000000"/>
          <w:szCs w:val="18"/>
          <w:shd w:val="clear" w:color="auto" w:fill="FFFFFF"/>
          <w:lang w:val="en-US"/>
        </w:rPr>
        <w:t>The Langmuir isotherm model is based on an adsorbate monolayer and is only applicable to homogenous surfaces (</w:t>
      </w:r>
      <w:proofErr w:type="spellStart"/>
      <w:r w:rsidRPr="00E454FB">
        <w:rPr>
          <w:rFonts w:eastAsia="Calibri" w:cs="Arial"/>
          <w:color w:val="000000"/>
          <w:szCs w:val="18"/>
          <w:shd w:val="clear" w:color="auto" w:fill="FFFFFF"/>
          <w:lang w:val="en-US"/>
        </w:rPr>
        <w:t>Syafiqah</w:t>
      </w:r>
      <w:proofErr w:type="spellEnd"/>
      <w:r w:rsidRPr="00E454FB">
        <w:rPr>
          <w:rFonts w:eastAsia="Calibri" w:cs="Arial"/>
          <w:color w:val="000000"/>
          <w:szCs w:val="18"/>
          <w:shd w:val="clear" w:color="auto" w:fill="FFFFFF"/>
          <w:lang w:val="en-US"/>
        </w:rPr>
        <w:t xml:space="preserve"> and </w:t>
      </w:r>
      <w:proofErr w:type="spellStart"/>
      <w:r w:rsidRPr="00E454FB">
        <w:rPr>
          <w:rFonts w:eastAsia="Calibri" w:cs="Arial"/>
          <w:color w:val="000000"/>
          <w:szCs w:val="18"/>
          <w:shd w:val="clear" w:color="auto" w:fill="FFFFFF"/>
          <w:lang w:val="en-US"/>
        </w:rPr>
        <w:t>Yussof</w:t>
      </w:r>
      <w:proofErr w:type="spellEnd"/>
      <w:r w:rsidRPr="00E454FB">
        <w:rPr>
          <w:rFonts w:eastAsia="Calibri" w:cs="Arial"/>
          <w:color w:val="000000"/>
          <w:szCs w:val="18"/>
          <w:shd w:val="clear" w:color="auto" w:fill="FFFFFF"/>
          <w:lang w:val="en-US"/>
        </w:rPr>
        <w:t xml:space="preserve">, 2018).  </w:t>
      </w:r>
      <w:r w:rsidRPr="00E454FB">
        <w:rPr>
          <w:rFonts w:eastAsia="Calibri" w:cs="Arial"/>
          <w:color w:val="000000"/>
          <w:szCs w:val="18"/>
          <w:lang w:val="en-ZA"/>
        </w:rPr>
        <w:t xml:space="preserve">The Langmuir isotherm constants </w:t>
      </w:r>
      <m:oMath>
        <m:sSub>
          <m:sSubPr>
            <m:ctrlPr>
              <w:rPr>
                <w:rFonts w:ascii="Cambria Math" w:eastAsia="Calibri" w:hAnsi="Cambria Math" w:cs="Arial"/>
                <w:i/>
                <w:color w:val="000000"/>
                <w:szCs w:val="18"/>
                <w:lang w:val="en-US"/>
              </w:rPr>
            </m:ctrlPr>
          </m:sSubPr>
          <m:e>
            <m:r>
              <w:rPr>
                <w:rFonts w:ascii="Cambria Math" w:eastAsia="Calibri" w:hAnsi="Cambria Math" w:cs="Arial"/>
                <w:color w:val="000000"/>
                <w:szCs w:val="18"/>
                <w:lang w:val="en-ZA"/>
              </w:rPr>
              <m:t>q</m:t>
            </m:r>
          </m:e>
          <m:sub>
            <m:r>
              <w:rPr>
                <w:rFonts w:ascii="Cambria Math" w:eastAsia="Calibri" w:hAnsi="Cambria Math" w:cs="Arial"/>
                <w:color w:val="000000"/>
                <w:szCs w:val="18"/>
                <w:lang w:val="en-ZA"/>
              </w:rPr>
              <m:t>max</m:t>
            </m:r>
          </m:sub>
        </m:sSub>
      </m:oMath>
      <w:r w:rsidRPr="00E454FB">
        <w:rPr>
          <w:rFonts w:eastAsia="Calibri" w:cs="Arial"/>
          <w:color w:val="000000"/>
          <w:szCs w:val="18"/>
          <w:lang w:val="en-ZA"/>
        </w:rPr>
        <w:t xml:space="preserve"> and </w:t>
      </w:r>
      <m:oMath>
        <m:sSub>
          <m:sSubPr>
            <m:ctrlPr>
              <w:rPr>
                <w:rFonts w:ascii="Cambria Math" w:eastAsia="Calibri" w:hAnsi="Cambria Math" w:cs="Arial"/>
                <w:i/>
                <w:color w:val="000000"/>
                <w:szCs w:val="18"/>
                <w:lang w:val="en-US"/>
              </w:rPr>
            </m:ctrlPr>
          </m:sSubPr>
          <m:e>
            <m:r>
              <w:rPr>
                <w:rFonts w:ascii="Cambria Math" w:eastAsia="Calibri" w:hAnsi="Cambria Math" w:cs="Arial"/>
                <w:color w:val="000000"/>
                <w:szCs w:val="18"/>
                <w:lang w:val="en-ZA"/>
              </w:rPr>
              <m:t>K</m:t>
            </m:r>
          </m:e>
          <m:sub>
            <m:r>
              <w:rPr>
                <w:rFonts w:ascii="Cambria Math" w:eastAsia="Calibri" w:hAnsi="Cambria Math" w:cs="Arial"/>
                <w:color w:val="000000"/>
                <w:szCs w:val="18"/>
                <w:lang w:val="en-ZA"/>
              </w:rPr>
              <m:t>L</m:t>
            </m:r>
          </m:sub>
        </m:sSub>
      </m:oMath>
      <w:r w:rsidRPr="00E454FB">
        <w:rPr>
          <w:rFonts w:eastAsia="Calibri" w:cs="Arial"/>
          <w:color w:val="000000"/>
          <w:szCs w:val="18"/>
          <w:lang w:val="en-ZA"/>
        </w:rPr>
        <w:t xml:space="preserve"> are related to the maximum monolayer sorption capacity (mg/g) and energy or net enthalpy of adsorption (L/mg), respectively. The Freundlich model assumes neither homogeneous site energies nor limiting adsorption levels (</w:t>
      </w:r>
      <w:proofErr w:type="spellStart"/>
      <w:r w:rsidRPr="00E454FB">
        <w:rPr>
          <w:rFonts w:eastAsia="Calibri" w:cs="Arial"/>
          <w:color w:val="000000"/>
          <w:szCs w:val="18"/>
          <w:shd w:val="clear" w:color="auto" w:fill="FFFFFF"/>
          <w:lang w:val="en-US"/>
        </w:rPr>
        <w:t>Syafiqah</w:t>
      </w:r>
      <w:proofErr w:type="spellEnd"/>
      <w:r w:rsidRPr="00E454FB">
        <w:rPr>
          <w:rFonts w:eastAsia="Calibri" w:cs="Arial"/>
          <w:color w:val="000000"/>
          <w:szCs w:val="18"/>
          <w:shd w:val="clear" w:color="auto" w:fill="FFFFFF"/>
          <w:lang w:val="en-US"/>
        </w:rPr>
        <w:t xml:space="preserve"> and </w:t>
      </w:r>
      <w:proofErr w:type="spellStart"/>
      <w:r w:rsidRPr="00E454FB">
        <w:rPr>
          <w:rFonts w:eastAsia="Calibri" w:cs="Arial"/>
          <w:color w:val="000000"/>
          <w:szCs w:val="18"/>
          <w:shd w:val="clear" w:color="auto" w:fill="FFFFFF"/>
          <w:lang w:val="en-US"/>
        </w:rPr>
        <w:t>Yussof</w:t>
      </w:r>
      <w:proofErr w:type="spellEnd"/>
      <w:r w:rsidRPr="00E454FB">
        <w:rPr>
          <w:rFonts w:eastAsia="Calibri" w:cs="Arial"/>
          <w:color w:val="000000"/>
          <w:szCs w:val="18"/>
          <w:shd w:val="clear" w:color="auto" w:fill="FFFFFF"/>
          <w:lang w:val="en-US"/>
        </w:rPr>
        <w:t>, 2018)</w:t>
      </w:r>
      <w:r w:rsidRPr="00E454FB">
        <w:rPr>
          <w:rFonts w:eastAsia="Calibri" w:cs="Arial"/>
          <w:color w:val="000000"/>
          <w:szCs w:val="18"/>
          <w:lang w:val="en-ZA"/>
        </w:rPr>
        <w:t>. This means that the Freundlich model can describe experimental data for adsorption isotherms whether they occur on homogeneous or heterogeneous sites, and it is not influenced by the formation of the monolayer (</w:t>
      </w:r>
      <w:r w:rsidRPr="00E454FB">
        <w:rPr>
          <w:rFonts w:eastAsia="Calibri" w:cs="Arial"/>
          <w:color w:val="000000"/>
          <w:szCs w:val="18"/>
          <w:shd w:val="clear" w:color="auto" w:fill="FFFFFF"/>
          <w:lang w:val="en-US"/>
        </w:rPr>
        <w:t>AL-</w:t>
      </w:r>
      <w:proofErr w:type="spellStart"/>
      <w:r w:rsidRPr="00E454FB">
        <w:rPr>
          <w:rFonts w:eastAsia="Calibri" w:cs="Arial"/>
          <w:color w:val="000000"/>
          <w:szCs w:val="18"/>
          <w:shd w:val="clear" w:color="auto" w:fill="FFFFFF"/>
          <w:lang w:val="en-US"/>
        </w:rPr>
        <w:t>Aoh</w:t>
      </w:r>
      <w:proofErr w:type="spellEnd"/>
      <w:r w:rsidRPr="00E454FB">
        <w:rPr>
          <w:rFonts w:eastAsia="Calibri" w:cs="Arial"/>
          <w:color w:val="000000"/>
          <w:szCs w:val="18"/>
          <w:shd w:val="clear" w:color="auto" w:fill="FFFFFF"/>
          <w:lang w:val="en-US"/>
        </w:rPr>
        <w:t xml:space="preserve"> </w:t>
      </w:r>
      <w:r w:rsidRPr="00E454FB">
        <w:rPr>
          <w:rFonts w:eastAsia="Calibri" w:cs="Arial"/>
          <w:i/>
          <w:iCs/>
          <w:color w:val="000000"/>
          <w:szCs w:val="18"/>
          <w:shd w:val="clear" w:color="auto" w:fill="FFFFFF"/>
          <w:lang w:val="en-US"/>
        </w:rPr>
        <w:t>et al</w:t>
      </w:r>
      <w:r w:rsidRPr="00E454FB">
        <w:rPr>
          <w:rFonts w:eastAsia="Calibri" w:cs="Arial"/>
          <w:color w:val="000000"/>
          <w:szCs w:val="18"/>
          <w:shd w:val="clear" w:color="auto" w:fill="FFFFFF"/>
          <w:lang w:val="en-US"/>
        </w:rPr>
        <w:t>., 2012)</w:t>
      </w:r>
      <w:r w:rsidRPr="00E454FB">
        <w:rPr>
          <w:rFonts w:eastAsia="Calibri" w:cs="Arial"/>
          <w:color w:val="000000"/>
          <w:szCs w:val="18"/>
          <w:lang w:val="en-ZA"/>
        </w:rPr>
        <w:t xml:space="preserve">.  </w:t>
      </w:r>
      <m:oMath>
        <m:sSub>
          <m:sSubPr>
            <m:ctrlPr>
              <w:rPr>
                <w:rFonts w:ascii="Cambria Math" w:eastAsia="Calibri" w:hAnsi="Cambria Math" w:cs="Arial"/>
                <w:i/>
                <w:color w:val="000000"/>
                <w:szCs w:val="18"/>
                <w:lang w:val="en-US"/>
              </w:rPr>
            </m:ctrlPr>
          </m:sSubPr>
          <m:e>
            <m:r>
              <w:rPr>
                <w:rFonts w:ascii="Cambria Math" w:eastAsia="Calibri" w:hAnsi="Cambria Math" w:cs="Arial"/>
                <w:color w:val="000000"/>
                <w:szCs w:val="18"/>
                <w:lang w:val="en-ZA"/>
              </w:rPr>
              <m:t>K</m:t>
            </m:r>
          </m:e>
          <m:sub>
            <m:r>
              <w:rPr>
                <w:rFonts w:ascii="Cambria Math" w:eastAsia="Calibri" w:hAnsi="Cambria Math" w:cs="Arial"/>
                <w:color w:val="000000"/>
                <w:szCs w:val="18"/>
                <w:lang w:val="en-ZA"/>
              </w:rPr>
              <m:t>f</m:t>
            </m:r>
          </m:sub>
        </m:sSub>
      </m:oMath>
      <w:r w:rsidRPr="00E454FB">
        <w:rPr>
          <w:rFonts w:eastAsia="Calibri" w:cs="Arial"/>
          <w:color w:val="000000"/>
          <w:szCs w:val="18"/>
          <w:lang w:val="en-ZA"/>
        </w:rPr>
        <w:t xml:space="preserve"> and </w:t>
      </w:r>
      <m:oMath>
        <m:r>
          <w:rPr>
            <w:rFonts w:ascii="Cambria Math" w:eastAsia="Calibri" w:hAnsi="Cambria Math" w:cs="Arial"/>
            <w:color w:val="000000"/>
            <w:szCs w:val="18"/>
            <w:lang w:val="en-ZA"/>
          </w:rPr>
          <m:t>n</m:t>
        </m:r>
      </m:oMath>
      <w:r w:rsidRPr="00E454FB">
        <w:rPr>
          <w:rFonts w:eastAsia="Calibri" w:cs="Arial"/>
          <w:color w:val="000000"/>
          <w:szCs w:val="18"/>
          <w:lang w:val="en-ZA"/>
        </w:rPr>
        <w:t xml:space="preserve"> are Freundlich isotherm constants </w:t>
      </w:r>
      <w:r w:rsidRPr="00E454FB">
        <w:rPr>
          <w:rFonts w:eastAsia="Calibri" w:cs="Arial"/>
          <w:color w:val="000000"/>
          <w:szCs w:val="18"/>
          <w:lang w:val="en-ZA"/>
        </w:rPr>
        <w:lastRenderedPageBreak/>
        <w:t>which are related to biosorption capacity (mg/g) and biosorption intensity respectively.</w:t>
      </w:r>
      <w:r w:rsidRPr="00E454FB">
        <w:rPr>
          <w:rFonts w:eastAsia="Calibri" w:cs="Arial"/>
          <w:color w:val="000000"/>
          <w:szCs w:val="18"/>
          <w:shd w:val="clear" w:color="auto" w:fill="FFFFFF"/>
          <w:lang w:val="en-US"/>
        </w:rPr>
        <w:t xml:space="preserve">  The results obtained by the application of the two-parameter models, Langmuir and Freundlich equations are presented in table 1.</w:t>
      </w:r>
    </w:p>
    <w:p w14:paraId="697AC566" w14:textId="77777777" w:rsidR="00E454FB" w:rsidRPr="00E454FB" w:rsidRDefault="00E454FB" w:rsidP="00E454FB">
      <w:pPr>
        <w:tabs>
          <w:tab w:val="clear" w:pos="7100"/>
        </w:tabs>
        <w:spacing w:line="276" w:lineRule="auto"/>
        <w:rPr>
          <w:rFonts w:eastAsia="Calibri" w:cs="Arial"/>
          <w:color w:val="111111"/>
          <w:szCs w:val="18"/>
          <w:shd w:val="clear" w:color="auto" w:fill="FFFFFF"/>
          <w:lang w:val="en-US"/>
        </w:rPr>
      </w:pPr>
    </w:p>
    <w:p w14:paraId="25F3C92D" w14:textId="6B560152" w:rsidR="00E454FB" w:rsidRPr="00E454FB" w:rsidRDefault="00E454FB" w:rsidP="00E454FB">
      <w:pPr>
        <w:tabs>
          <w:tab w:val="clear" w:pos="7100"/>
        </w:tabs>
        <w:spacing w:line="276" w:lineRule="auto"/>
        <w:rPr>
          <w:rFonts w:eastAsia="Calibri" w:cs="Arial"/>
          <w:color w:val="111111"/>
          <w:szCs w:val="18"/>
          <w:shd w:val="clear" w:color="auto" w:fill="FFFFFF"/>
          <w:lang w:val="en-US"/>
        </w:rPr>
      </w:pPr>
      <w:r w:rsidRPr="00E454FB">
        <w:rPr>
          <w:rFonts w:eastAsia="Calibri" w:cs="Arial"/>
          <w:color w:val="111111"/>
          <w:szCs w:val="18"/>
          <w:shd w:val="clear" w:color="auto" w:fill="FFFFFF"/>
          <w:lang w:val="en-US"/>
        </w:rPr>
        <w:t xml:space="preserve">Table 1: Characteristics of isotherm parameters obtained for the biosorption of </w:t>
      </w:r>
      <w:r w:rsidR="00962379">
        <w:rPr>
          <w:rFonts w:eastAsia="Calibri" w:cs="Arial"/>
          <w:color w:val="111111"/>
          <w:szCs w:val="18"/>
          <w:shd w:val="clear" w:color="auto" w:fill="FFFFFF"/>
          <w:lang w:val="en-US"/>
        </w:rPr>
        <w:t>Pd (II)</w:t>
      </w:r>
      <w:r w:rsidRPr="00E454FB">
        <w:rPr>
          <w:rFonts w:eastAsia="Calibri" w:cs="Arial"/>
          <w:color w:val="111111"/>
          <w:szCs w:val="18"/>
          <w:shd w:val="clear" w:color="auto" w:fill="FFFFFF"/>
          <w:lang w:val="en-US"/>
        </w:rPr>
        <w:t xml:space="preserve"> </w:t>
      </w:r>
      <w:r w:rsidR="007B0C21">
        <w:rPr>
          <w:rFonts w:eastAsia="Calibri" w:cs="Arial"/>
          <w:color w:val="111111"/>
          <w:szCs w:val="18"/>
          <w:shd w:val="clear" w:color="auto" w:fill="FFFFFF"/>
          <w:lang w:val="en-US"/>
        </w:rPr>
        <w:t>by</w:t>
      </w:r>
      <w:r w:rsidRPr="00E454FB">
        <w:rPr>
          <w:rFonts w:eastAsia="Calibri" w:cs="Arial"/>
          <w:color w:val="111111"/>
          <w:szCs w:val="18"/>
          <w:shd w:val="clear" w:color="auto" w:fill="FFFFFF"/>
          <w:lang w:val="en-US"/>
        </w:rPr>
        <w:t xml:space="preserve"> P41C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8"/>
        <w:gridCol w:w="1758"/>
        <w:gridCol w:w="1757"/>
        <w:gridCol w:w="1757"/>
        <w:gridCol w:w="1757"/>
      </w:tblGrid>
      <w:tr w:rsidR="007B0C21" w:rsidRPr="007B0C21" w14:paraId="018CACD9" w14:textId="77777777" w:rsidTr="00DC2153">
        <w:tc>
          <w:tcPr>
            <w:tcW w:w="1000" w:type="pct"/>
            <w:tcBorders>
              <w:top w:val="single" w:sz="12" w:space="0" w:color="008000"/>
              <w:bottom w:val="single" w:sz="6" w:space="0" w:color="008000"/>
            </w:tcBorders>
            <w:shd w:val="clear" w:color="auto" w:fill="FFFFFF"/>
          </w:tcPr>
          <w:p w14:paraId="5F72D834"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b/>
                <w:bCs/>
                <w:szCs w:val="18"/>
                <w:lang w:val="en-US"/>
              </w:rPr>
              <w:t>Biosorbent</w:t>
            </w:r>
          </w:p>
        </w:tc>
        <w:tc>
          <w:tcPr>
            <w:tcW w:w="1000" w:type="pct"/>
            <w:tcBorders>
              <w:top w:val="single" w:sz="12" w:space="0" w:color="008000"/>
              <w:bottom w:val="single" w:sz="6" w:space="0" w:color="008000"/>
            </w:tcBorders>
            <w:shd w:val="clear" w:color="auto" w:fill="FFFFFF"/>
          </w:tcPr>
          <w:p w14:paraId="53DD3F58"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b/>
                <w:bCs/>
                <w:szCs w:val="18"/>
                <w:lang w:val="en-US"/>
              </w:rPr>
              <w:t>Isotherm model</w:t>
            </w:r>
          </w:p>
        </w:tc>
        <w:tc>
          <w:tcPr>
            <w:tcW w:w="1000" w:type="pct"/>
            <w:tcBorders>
              <w:top w:val="single" w:sz="12" w:space="0" w:color="008000"/>
              <w:bottom w:val="single" w:sz="6" w:space="0" w:color="008000"/>
            </w:tcBorders>
            <w:shd w:val="clear" w:color="auto" w:fill="FFFFFF"/>
          </w:tcPr>
          <w:p w14:paraId="69D407DB"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b/>
                <w:bCs/>
                <w:szCs w:val="18"/>
                <w:lang w:val="en-US"/>
              </w:rPr>
              <w:t>Isotherm Parameter</w:t>
            </w:r>
          </w:p>
        </w:tc>
        <w:tc>
          <w:tcPr>
            <w:tcW w:w="2000" w:type="pct"/>
            <w:gridSpan w:val="2"/>
            <w:tcBorders>
              <w:top w:val="single" w:sz="12" w:space="0" w:color="008000"/>
              <w:bottom w:val="single" w:sz="6" w:space="0" w:color="008000"/>
            </w:tcBorders>
            <w:shd w:val="clear" w:color="auto" w:fill="FFFFFF"/>
          </w:tcPr>
          <w:p w14:paraId="063E4430" w14:textId="77777777" w:rsidR="007B0C21" w:rsidRPr="007B0C21" w:rsidRDefault="007B0C21" w:rsidP="007B0C21">
            <w:pPr>
              <w:tabs>
                <w:tab w:val="clear" w:pos="7100"/>
              </w:tabs>
              <w:spacing w:line="276" w:lineRule="auto"/>
              <w:rPr>
                <w:rFonts w:eastAsia="Calibri" w:cs="Arial"/>
                <w:b/>
                <w:bCs/>
                <w:szCs w:val="18"/>
                <w:lang w:val="en-US"/>
              </w:rPr>
            </w:pPr>
            <w:r w:rsidRPr="007B0C21">
              <w:rPr>
                <w:rFonts w:eastAsia="Calibri" w:cs="Arial"/>
                <w:b/>
                <w:bCs/>
                <w:szCs w:val="18"/>
                <w:lang w:val="en-US"/>
              </w:rPr>
              <w:t>Isotherm Parameter Values</w:t>
            </w:r>
          </w:p>
          <w:p w14:paraId="1DCAA0EF" w14:textId="77777777" w:rsidR="007B0C21" w:rsidRPr="007B0C21" w:rsidRDefault="007B0C21" w:rsidP="007B0C21">
            <w:pPr>
              <w:tabs>
                <w:tab w:val="clear" w:pos="7100"/>
              </w:tabs>
              <w:spacing w:line="276" w:lineRule="auto"/>
              <w:rPr>
                <w:rFonts w:eastAsia="Calibri" w:cs="Arial"/>
                <w:b/>
                <w:bCs/>
                <w:szCs w:val="18"/>
                <w:lang w:val="en-ZA"/>
              </w:rPr>
            </w:pPr>
          </w:p>
        </w:tc>
      </w:tr>
      <w:tr w:rsidR="007B0C21" w:rsidRPr="007B0C21" w14:paraId="598FBC6F" w14:textId="77777777" w:rsidTr="00DC2153">
        <w:tc>
          <w:tcPr>
            <w:tcW w:w="1000" w:type="pct"/>
            <w:shd w:val="clear" w:color="auto" w:fill="FFFFFF"/>
          </w:tcPr>
          <w:p w14:paraId="0CCFA0E8" w14:textId="77777777" w:rsidR="007B0C21" w:rsidRPr="007B0C21" w:rsidRDefault="007B0C21" w:rsidP="007B0C21">
            <w:pPr>
              <w:tabs>
                <w:tab w:val="clear" w:pos="7100"/>
              </w:tabs>
              <w:spacing w:line="276" w:lineRule="auto"/>
              <w:rPr>
                <w:rFonts w:eastAsia="Calibri" w:cs="Arial"/>
                <w:szCs w:val="18"/>
              </w:rPr>
            </w:pPr>
            <w:r w:rsidRPr="007B0C21">
              <w:rPr>
                <w:rFonts w:eastAsia="Calibri" w:cs="Arial"/>
                <w:b/>
                <w:bCs/>
                <w:szCs w:val="18"/>
                <w:lang w:val="en-US"/>
              </w:rPr>
              <w:t>P41C</w:t>
            </w:r>
          </w:p>
        </w:tc>
        <w:tc>
          <w:tcPr>
            <w:tcW w:w="1000" w:type="pct"/>
            <w:shd w:val="clear" w:color="auto" w:fill="FFFFFF"/>
          </w:tcPr>
          <w:p w14:paraId="145C8DDF" w14:textId="77777777" w:rsidR="007B0C21" w:rsidRPr="007B0C21" w:rsidRDefault="007B0C21" w:rsidP="007B0C21">
            <w:pPr>
              <w:tabs>
                <w:tab w:val="clear" w:pos="7100"/>
              </w:tabs>
              <w:spacing w:line="276" w:lineRule="auto"/>
              <w:rPr>
                <w:rFonts w:eastAsia="Calibri" w:cs="Arial"/>
                <w:szCs w:val="18"/>
              </w:rPr>
            </w:pPr>
            <w:r w:rsidRPr="007B0C21">
              <w:rPr>
                <w:rFonts w:eastAsia="Calibri" w:cs="Arial"/>
                <w:szCs w:val="18"/>
                <w:lang w:val="en-US"/>
              </w:rPr>
              <w:t>Langmuir</w:t>
            </w:r>
          </w:p>
        </w:tc>
        <w:tc>
          <w:tcPr>
            <w:tcW w:w="1000" w:type="pct"/>
            <w:shd w:val="clear" w:color="auto" w:fill="FFFFFF"/>
          </w:tcPr>
          <w:p w14:paraId="3DBB5BB9" w14:textId="77777777" w:rsidR="007B0C21" w:rsidRPr="007B0C21" w:rsidRDefault="007B0C21" w:rsidP="007B0C21">
            <w:pPr>
              <w:tabs>
                <w:tab w:val="clear" w:pos="7100"/>
              </w:tabs>
              <w:spacing w:line="276" w:lineRule="auto"/>
              <w:rPr>
                <w:rFonts w:eastAsia="Calibri" w:cs="Arial"/>
                <w:szCs w:val="18"/>
              </w:rPr>
            </w:pPr>
            <w:r w:rsidRPr="007B0C21">
              <w:rPr>
                <w:rFonts w:eastAsia="Calibri" w:cs="Arial"/>
                <w:szCs w:val="18"/>
                <w:lang w:val="en-US"/>
              </w:rPr>
              <w:t>R</w:t>
            </w:r>
            <w:r w:rsidRPr="007B0C21">
              <w:rPr>
                <w:rFonts w:eastAsia="Calibri" w:cs="Arial"/>
                <w:szCs w:val="18"/>
                <w:vertAlign w:val="superscript"/>
                <w:lang w:val="en-US"/>
              </w:rPr>
              <w:t>2</w:t>
            </w:r>
          </w:p>
        </w:tc>
        <w:tc>
          <w:tcPr>
            <w:tcW w:w="1000" w:type="pct"/>
            <w:shd w:val="clear" w:color="auto" w:fill="FFFFFF"/>
          </w:tcPr>
          <w:p w14:paraId="57BA90C6" w14:textId="77777777" w:rsidR="007B0C21" w:rsidRPr="007B0C21" w:rsidRDefault="007B0C21" w:rsidP="007B0C21">
            <w:pPr>
              <w:tabs>
                <w:tab w:val="clear" w:pos="7100"/>
              </w:tabs>
              <w:spacing w:line="276" w:lineRule="auto"/>
              <w:rPr>
                <w:rFonts w:eastAsia="Calibri" w:cs="Arial"/>
                <w:szCs w:val="18"/>
              </w:rPr>
            </w:pPr>
          </w:p>
        </w:tc>
        <w:tc>
          <w:tcPr>
            <w:tcW w:w="1000" w:type="pct"/>
            <w:shd w:val="clear" w:color="auto" w:fill="FFFFFF"/>
          </w:tcPr>
          <w:p w14:paraId="2B50E5E1" w14:textId="77777777" w:rsidR="007B0C21" w:rsidRPr="007B0C21" w:rsidRDefault="007B0C21" w:rsidP="007B0C21">
            <w:pPr>
              <w:tabs>
                <w:tab w:val="clear" w:pos="7100"/>
              </w:tabs>
              <w:spacing w:line="276" w:lineRule="auto"/>
              <w:rPr>
                <w:rFonts w:eastAsia="Calibri" w:cs="Arial"/>
                <w:szCs w:val="18"/>
              </w:rPr>
            </w:pPr>
            <w:r w:rsidRPr="007B0C21">
              <w:rPr>
                <w:rFonts w:eastAsia="Calibri" w:cs="Arial"/>
                <w:szCs w:val="18"/>
                <w:lang w:val="en-US"/>
              </w:rPr>
              <w:t>0,826</w:t>
            </w:r>
          </w:p>
        </w:tc>
      </w:tr>
      <w:tr w:rsidR="007B0C21" w:rsidRPr="007B0C21" w14:paraId="56800C4F" w14:textId="77777777" w:rsidTr="00DC2153">
        <w:tc>
          <w:tcPr>
            <w:tcW w:w="1000" w:type="pct"/>
            <w:shd w:val="clear" w:color="auto" w:fill="FFFFFF"/>
          </w:tcPr>
          <w:p w14:paraId="7A3CC40A" w14:textId="77777777" w:rsidR="007B0C21" w:rsidRPr="007B0C21" w:rsidRDefault="007B0C21" w:rsidP="007B0C21">
            <w:pPr>
              <w:tabs>
                <w:tab w:val="clear" w:pos="7100"/>
              </w:tabs>
              <w:spacing w:line="276" w:lineRule="auto"/>
              <w:rPr>
                <w:rFonts w:eastAsia="Calibri" w:cs="Arial"/>
                <w:szCs w:val="18"/>
              </w:rPr>
            </w:pPr>
          </w:p>
        </w:tc>
        <w:tc>
          <w:tcPr>
            <w:tcW w:w="1000" w:type="pct"/>
            <w:shd w:val="clear" w:color="auto" w:fill="FFFFFF"/>
          </w:tcPr>
          <w:p w14:paraId="0839AC0C" w14:textId="77777777" w:rsidR="007B0C21" w:rsidRPr="007B0C21" w:rsidRDefault="007B0C21" w:rsidP="007B0C21">
            <w:pPr>
              <w:tabs>
                <w:tab w:val="clear" w:pos="7100"/>
              </w:tabs>
              <w:spacing w:line="276" w:lineRule="auto"/>
              <w:rPr>
                <w:rFonts w:eastAsia="Calibri" w:cs="Arial"/>
                <w:szCs w:val="18"/>
              </w:rPr>
            </w:pPr>
          </w:p>
        </w:tc>
        <w:tc>
          <w:tcPr>
            <w:tcW w:w="1000" w:type="pct"/>
            <w:shd w:val="clear" w:color="auto" w:fill="FFFFFF"/>
          </w:tcPr>
          <w:p w14:paraId="2789F7F1" w14:textId="77777777" w:rsidR="007B0C21" w:rsidRPr="007B0C21" w:rsidRDefault="007B0C21" w:rsidP="007B0C21">
            <w:pPr>
              <w:tabs>
                <w:tab w:val="clear" w:pos="7100"/>
              </w:tabs>
              <w:spacing w:line="276" w:lineRule="auto"/>
              <w:rPr>
                <w:rFonts w:eastAsia="Calibri" w:cs="Arial"/>
                <w:szCs w:val="18"/>
              </w:rPr>
            </w:pPr>
            <w:r w:rsidRPr="007B0C21">
              <w:rPr>
                <w:rFonts w:eastAsia="Calibri" w:cs="Arial"/>
                <w:szCs w:val="18"/>
                <w:lang w:val="en-US"/>
              </w:rPr>
              <w:t>q</w:t>
            </w:r>
            <w:r w:rsidRPr="007B0C21">
              <w:rPr>
                <w:rFonts w:eastAsia="Calibri" w:cs="Arial"/>
                <w:szCs w:val="18"/>
                <w:vertAlign w:val="subscript"/>
                <w:lang w:val="en-US"/>
              </w:rPr>
              <w:t xml:space="preserve">max </w:t>
            </w:r>
            <w:r w:rsidRPr="007B0C21">
              <w:rPr>
                <w:rFonts w:eastAsia="Calibri" w:cs="Arial"/>
                <w:szCs w:val="18"/>
                <w:lang w:val="en-US"/>
              </w:rPr>
              <w:t>(mg/g)</w:t>
            </w:r>
          </w:p>
        </w:tc>
        <w:tc>
          <w:tcPr>
            <w:tcW w:w="1000" w:type="pct"/>
            <w:shd w:val="clear" w:color="auto" w:fill="FFFFFF"/>
            <w:vAlign w:val="center"/>
          </w:tcPr>
          <w:p w14:paraId="72F99923" w14:textId="77777777" w:rsidR="007B0C21" w:rsidRPr="007B0C21" w:rsidRDefault="007B0C21" w:rsidP="007B0C21">
            <w:pPr>
              <w:tabs>
                <w:tab w:val="clear" w:pos="7100"/>
              </w:tabs>
              <w:spacing w:line="276" w:lineRule="auto"/>
              <w:rPr>
                <w:rFonts w:eastAsia="Calibri" w:cs="Arial"/>
                <w:szCs w:val="18"/>
              </w:rPr>
            </w:pPr>
          </w:p>
        </w:tc>
        <w:tc>
          <w:tcPr>
            <w:tcW w:w="1000" w:type="pct"/>
            <w:shd w:val="clear" w:color="auto" w:fill="FFFFFF"/>
          </w:tcPr>
          <w:p w14:paraId="6C74C395" w14:textId="77777777" w:rsidR="007B0C21" w:rsidRPr="007B0C21" w:rsidRDefault="007B0C21" w:rsidP="007B0C21">
            <w:pPr>
              <w:tabs>
                <w:tab w:val="clear" w:pos="7100"/>
              </w:tabs>
              <w:spacing w:line="276" w:lineRule="auto"/>
              <w:rPr>
                <w:rFonts w:eastAsia="Calibri" w:cs="Arial"/>
                <w:szCs w:val="18"/>
              </w:rPr>
            </w:pPr>
            <w:r w:rsidRPr="007B0C21">
              <w:rPr>
                <w:rFonts w:eastAsia="Calibri" w:cs="Arial"/>
                <w:szCs w:val="18"/>
                <w:lang w:val="en-US"/>
              </w:rPr>
              <w:t>148,498</w:t>
            </w:r>
          </w:p>
        </w:tc>
      </w:tr>
      <w:tr w:rsidR="007B0C21" w:rsidRPr="007B0C21" w14:paraId="3D929640" w14:textId="77777777" w:rsidTr="00DC2153">
        <w:tc>
          <w:tcPr>
            <w:tcW w:w="1000" w:type="pct"/>
            <w:shd w:val="clear" w:color="auto" w:fill="FFFFFF"/>
          </w:tcPr>
          <w:p w14:paraId="0965232C"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0802F4C1"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74743234"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K</w:t>
            </w:r>
            <w:r w:rsidRPr="007B0C21">
              <w:rPr>
                <w:rFonts w:eastAsia="Calibri" w:cs="Arial"/>
                <w:szCs w:val="18"/>
                <w:vertAlign w:val="subscript"/>
                <w:lang w:val="en-US"/>
              </w:rPr>
              <w:t>L</w:t>
            </w:r>
            <w:r w:rsidRPr="007B0C21">
              <w:rPr>
                <w:rFonts w:eastAsia="Calibri" w:cs="Arial"/>
                <w:szCs w:val="18"/>
                <w:lang w:val="en-US"/>
              </w:rPr>
              <w:t xml:space="preserve"> (L/mg)</w:t>
            </w:r>
          </w:p>
        </w:tc>
        <w:tc>
          <w:tcPr>
            <w:tcW w:w="1000" w:type="pct"/>
            <w:shd w:val="clear" w:color="auto" w:fill="FFFFFF"/>
            <w:vAlign w:val="center"/>
          </w:tcPr>
          <w:p w14:paraId="28B6E788"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0BDD22F4"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0,135</w:t>
            </w:r>
          </w:p>
        </w:tc>
      </w:tr>
      <w:tr w:rsidR="007B0C21" w:rsidRPr="007B0C21" w14:paraId="61B5C8B2" w14:textId="77777777" w:rsidTr="00DC2153">
        <w:tc>
          <w:tcPr>
            <w:tcW w:w="1000" w:type="pct"/>
            <w:shd w:val="clear" w:color="auto" w:fill="FFFFFF"/>
          </w:tcPr>
          <w:p w14:paraId="3B9AE426"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402F69E9"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Freundlich</w:t>
            </w:r>
          </w:p>
        </w:tc>
        <w:tc>
          <w:tcPr>
            <w:tcW w:w="1000" w:type="pct"/>
            <w:shd w:val="clear" w:color="auto" w:fill="FFFFFF"/>
          </w:tcPr>
          <w:p w14:paraId="75FEDCE5"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R</w:t>
            </w:r>
            <w:r w:rsidRPr="007B0C21">
              <w:rPr>
                <w:rFonts w:eastAsia="Calibri" w:cs="Arial"/>
                <w:szCs w:val="18"/>
                <w:vertAlign w:val="superscript"/>
                <w:lang w:val="en-US"/>
              </w:rPr>
              <w:t>2</w:t>
            </w:r>
          </w:p>
        </w:tc>
        <w:tc>
          <w:tcPr>
            <w:tcW w:w="1000" w:type="pct"/>
            <w:shd w:val="clear" w:color="auto" w:fill="FFFFFF"/>
            <w:vAlign w:val="center"/>
          </w:tcPr>
          <w:p w14:paraId="4D6D2172"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6EA8EDC0"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0,823</w:t>
            </w:r>
          </w:p>
        </w:tc>
      </w:tr>
      <w:tr w:rsidR="007B0C21" w:rsidRPr="007B0C21" w14:paraId="74800FE7" w14:textId="77777777" w:rsidTr="00DC2153">
        <w:tc>
          <w:tcPr>
            <w:tcW w:w="1000" w:type="pct"/>
            <w:shd w:val="clear" w:color="auto" w:fill="FFFFFF"/>
          </w:tcPr>
          <w:p w14:paraId="15E14EE0"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7F9BA4AA"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1108FDEE"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n</w:t>
            </w:r>
          </w:p>
        </w:tc>
        <w:tc>
          <w:tcPr>
            <w:tcW w:w="1000" w:type="pct"/>
            <w:shd w:val="clear" w:color="auto" w:fill="FFFFFF"/>
            <w:vAlign w:val="center"/>
          </w:tcPr>
          <w:p w14:paraId="210243CB"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6EEF7C4A"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3,496</w:t>
            </w:r>
          </w:p>
        </w:tc>
      </w:tr>
      <w:tr w:rsidR="007B0C21" w:rsidRPr="007B0C21" w14:paraId="28D99855" w14:textId="77777777" w:rsidTr="00DC2153">
        <w:tc>
          <w:tcPr>
            <w:tcW w:w="1000" w:type="pct"/>
            <w:shd w:val="clear" w:color="auto" w:fill="FFFFFF"/>
          </w:tcPr>
          <w:p w14:paraId="6FEEF5D8"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3D5A5315"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4D3230F5"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K</w:t>
            </w:r>
            <w:r w:rsidRPr="007B0C21">
              <w:rPr>
                <w:rFonts w:eastAsia="Calibri" w:cs="Arial"/>
                <w:szCs w:val="18"/>
                <w:vertAlign w:val="subscript"/>
                <w:lang w:val="en-US"/>
              </w:rPr>
              <w:t>F</w:t>
            </w:r>
            <w:r w:rsidRPr="007B0C21">
              <w:rPr>
                <w:rFonts w:eastAsia="Calibri" w:cs="Arial"/>
                <w:szCs w:val="18"/>
                <w:lang w:val="en-US"/>
              </w:rPr>
              <w:t xml:space="preserve"> (L</w:t>
            </w:r>
            <w:r w:rsidRPr="007B0C21">
              <w:rPr>
                <w:rFonts w:eastAsia="Calibri" w:cs="Arial"/>
                <w:szCs w:val="18"/>
                <w:vertAlign w:val="superscript"/>
                <w:lang w:val="en-US"/>
              </w:rPr>
              <w:t>1/n</w:t>
            </w:r>
            <w:r w:rsidRPr="007B0C21">
              <w:rPr>
                <w:rFonts w:eastAsia="Calibri" w:cs="Arial"/>
                <w:szCs w:val="18"/>
                <w:lang w:val="en-US"/>
              </w:rPr>
              <w:t>/g.mg</w:t>
            </w:r>
            <w:r w:rsidRPr="007B0C21">
              <w:rPr>
                <w:rFonts w:eastAsia="Calibri" w:cs="Arial"/>
                <w:szCs w:val="18"/>
                <w:vertAlign w:val="superscript"/>
                <w:lang w:val="en-US"/>
              </w:rPr>
              <w:t>1/(n-1)</w:t>
            </w:r>
            <w:r w:rsidRPr="007B0C21">
              <w:rPr>
                <w:rFonts w:eastAsia="Calibri" w:cs="Arial"/>
                <w:szCs w:val="18"/>
                <w:lang w:val="en-US"/>
              </w:rPr>
              <w:t>)</w:t>
            </w:r>
          </w:p>
        </w:tc>
        <w:tc>
          <w:tcPr>
            <w:tcW w:w="1000" w:type="pct"/>
            <w:shd w:val="clear" w:color="auto" w:fill="FFFFFF"/>
            <w:vAlign w:val="center"/>
          </w:tcPr>
          <w:p w14:paraId="198D092A"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52A541C9" w14:textId="77777777" w:rsidR="007B0C21" w:rsidRPr="007B0C21" w:rsidRDefault="007B0C21" w:rsidP="007B0C21">
            <w:pPr>
              <w:tabs>
                <w:tab w:val="clear" w:pos="7100"/>
              </w:tabs>
              <w:spacing w:line="276" w:lineRule="auto"/>
              <w:rPr>
                <w:rFonts w:eastAsia="Calibri" w:cs="Arial"/>
                <w:b/>
                <w:bCs/>
                <w:szCs w:val="18"/>
                <w:lang w:val="en-ZA"/>
              </w:rPr>
            </w:pPr>
            <w:r w:rsidRPr="007B0C21">
              <w:rPr>
                <w:rFonts w:eastAsia="Calibri" w:cs="Arial"/>
                <w:szCs w:val="18"/>
                <w:lang w:val="en-US"/>
              </w:rPr>
              <w:t>40,909</w:t>
            </w:r>
          </w:p>
        </w:tc>
      </w:tr>
      <w:tr w:rsidR="007B0C21" w:rsidRPr="007B0C21" w14:paraId="7BCE2FD3" w14:textId="77777777" w:rsidTr="00DC2153">
        <w:tc>
          <w:tcPr>
            <w:tcW w:w="1000" w:type="pct"/>
            <w:shd w:val="clear" w:color="auto" w:fill="FFFFFF"/>
          </w:tcPr>
          <w:p w14:paraId="3EB5C654"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5E864900"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60AB5F96"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297EEE7C" w14:textId="77777777" w:rsidR="007B0C21" w:rsidRPr="007B0C21" w:rsidRDefault="007B0C21" w:rsidP="007B0C21">
            <w:pPr>
              <w:tabs>
                <w:tab w:val="clear" w:pos="7100"/>
              </w:tabs>
              <w:spacing w:line="276" w:lineRule="auto"/>
              <w:rPr>
                <w:rFonts w:eastAsia="Calibri" w:cs="Arial"/>
                <w:b/>
                <w:bCs/>
                <w:szCs w:val="18"/>
                <w:lang w:val="en-ZA"/>
              </w:rPr>
            </w:pPr>
          </w:p>
        </w:tc>
        <w:tc>
          <w:tcPr>
            <w:tcW w:w="1000" w:type="pct"/>
            <w:shd w:val="clear" w:color="auto" w:fill="FFFFFF"/>
          </w:tcPr>
          <w:p w14:paraId="058FE198" w14:textId="77777777" w:rsidR="007B0C21" w:rsidRPr="007B0C21" w:rsidRDefault="007B0C21" w:rsidP="007B0C21">
            <w:pPr>
              <w:tabs>
                <w:tab w:val="clear" w:pos="7100"/>
              </w:tabs>
              <w:spacing w:line="276" w:lineRule="auto"/>
              <w:rPr>
                <w:rFonts w:eastAsia="Calibri" w:cs="Arial"/>
                <w:b/>
                <w:bCs/>
                <w:szCs w:val="18"/>
                <w:lang w:val="en-ZA"/>
              </w:rPr>
            </w:pPr>
          </w:p>
        </w:tc>
      </w:tr>
    </w:tbl>
    <w:p w14:paraId="65781228" w14:textId="77777777" w:rsidR="00F361FB" w:rsidRDefault="00F361FB" w:rsidP="00E454FB">
      <w:pPr>
        <w:tabs>
          <w:tab w:val="clear" w:pos="7100"/>
        </w:tabs>
        <w:spacing w:line="276" w:lineRule="auto"/>
        <w:rPr>
          <w:rFonts w:eastAsia="Calibri" w:cs="Arial"/>
          <w:szCs w:val="18"/>
          <w:lang w:val="en-ZA"/>
        </w:rPr>
      </w:pPr>
    </w:p>
    <w:p w14:paraId="5DB7F1D3" w14:textId="0444FBAF" w:rsidR="00962379" w:rsidRPr="00E454FB" w:rsidRDefault="00E454FB" w:rsidP="00E454FB">
      <w:pPr>
        <w:tabs>
          <w:tab w:val="clear" w:pos="7100"/>
        </w:tabs>
        <w:spacing w:line="276" w:lineRule="auto"/>
        <w:rPr>
          <w:rFonts w:eastAsia="Calibri" w:cs="Arial"/>
          <w:color w:val="111111"/>
          <w:szCs w:val="18"/>
          <w:shd w:val="clear" w:color="auto" w:fill="FFFFFF"/>
          <w:lang w:val="en-US"/>
        </w:rPr>
      </w:pPr>
      <w:r w:rsidRPr="00E454FB">
        <w:rPr>
          <w:rFonts w:eastAsia="Calibri" w:cs="Arial"/>
          <w:szCs w:val="18"/>
          <w:lang w:val="en-ZA"/>
        </w:rPr>
        <w:t xml:space="preserve">The biosorption of </w:t>
      </w:r>
      <w:r w:rsidR="00962379">
        <w:rPr>
          <w:rFonts w:eastAsia="Calibri" w:cs="Arial"/>
          <w:szCs w:val="18"/>
          <w:lang w:val="en-ZA"/>
        </w:rPr>
        <w:t>Pd (II)</w:t>
      </w:r>
      <w:r w:rsidRPr="00E454FB">
        <w:rPr>
          <w:rFonts w:eastAsia="Calibri" w:cs="Arial"/>
          <w:szCs w:val="18"/>
          <w:lang w:val="en-ZA"/>
        </w:rPr>
        <w:t xml:space="preserve"> by </w:t>
      </w:r>
      <w:r w:rsidRPr="00E454FB">
        <w:rPr>
          <w:rFonts w:eastAsia="Calibri" w:cs="Arial"/>
          <w:color w:val="111111"/>
          <w:szCs w:val="18"/>
          <w:shd w:val="clear" w:color="auto" w:fill="FFFFFF"/>
          <w:lang w:val="en-US"/>
        </w:rPr>
        <w:t>P41C which was best described by the Langmuir isotherm; this was deduced from the correlation coefficient R</w:t>
      </w:r>
      <w:r w:rsidRPr="00E454FB">
        <w:rPr>
          <w:rFonts w:eastAsia="Calibri" w:cs="Arial"/>
          <w:color w:val="111111"/>
          <w:szCs w:val="18"/>
          <w:shd w:val="clear" w:color="auto" w:fill="FFFFFF"/>
          <w:vertAlign w:val="superscript"/>
          <w:lang w:val="en-US"/>
        </w:rPr>
        <w:t>2</w:t>
      </w:r>
      <w:r w:rsidRPr="00E454FB">
        <w:rPr>
          <w:rFonts w:eastAsia="Calibri" w:cs="Arial"/>
          <w:color w:val="111111"/>
          <w:szCs w:val="18"/>
          <w:shd w:val="clear" w:color="auto" w:fill="FFFFFF"/>
          <w:lang w:val="en-US"/>
        </w:rPr>
        <w:t xml:space="preserve"> values of the linearized Langmuir and Freundlich isotherms.  The correlation coefficient R</w:t>
      </w:r>
      <w:r w:rsidRPr="00E454FB">
        <w:rPr>
          <w:rFonts w:eastAsia="Calibri" w:cs="Arial"/>
          <w:color w:val="111111"/>
          <w:szCs w:val="18"/>
          <w:shd w:val="clear" w:color="auto" w:fill="FFFFFF"/>
          <w:vertAlign w:val="superscript"/>
          <w:lang w:val="en-US"/>
        </w:rPr>
        <w:t>2</w:t>
      </w:r>
      <w:r w:rsidRPr="00E454FB">
        <w:rPr>
          <w:rFonts w:eastAsia="Calibri" w:cs="Arial"/>
          <w:color w:val="111111"/>
          <w:szCs w:val="18"/>
          <w:shd w:val="clear" w:color="auto" w:fill="FFFFFF"/>
          <w:lang w:val="en-US"/>
        </w:rPr>
        <w:t xml:space="preserve"> for linearized Langmuir isotherm, 0.826, is slightly higher than that for linearized Freundlich isotherm, 0.823</w:t>
      </w:r>
      <w:r w:rsidRPr="00E454FB">
        <w:rPr>
          <w:rFonts w:eastAsia="Calibri" w:cs="Arial"/>
          <w:szCs w:val="18"/>
          <w:lang w:val="en-ZA"/>
        </w:rPr>
        <w:t xml:space="preserve"> as indicated in figures </w:t>
      </w:r>
      <w:r w:rsidRPr="00E454FB">
        <w:rPr>
          <w:rFonts w:eastAsia="Calibri" w:cs="Arial"/>
          <w:color w:val="111111"/>
          <w:szCs w:val="18"/>
          <w:shd w:val="clear" w:color="auto" w:fill="FFFFFF"/>
          <w:lang w:val="en-US"/>
        </w:rPr>
        <w:t xml:space="preserve">2A and 2B respectively.  </w:t>
      </w:r>
    </w:p>
    <w:p w14:paraId="18A6E6BE" w14:textId="77777777" w:rsidR="00E454FB" w:rsidRPr="00E454FB" w:rsidRDefault="00E454FB" w:rsidP="00E454FB">
      <w:pPr>
        <w:tabs>
          <w:tab w:val="clear" w:pos="7100"/>
        </w:tabs>
        <w:spacing w:line="276" w:lineRule="auto"/>
        <w:jc w:val="center"/>
        <w:rPr>
          <w:rFonts w:eastAsia="Calibri" w:cs="Arial"/>
          <w:szCs w:val="18"/>
          <w:lang w:val="en-ZA"/>
        </w:rPr>
      </w:pPr>
      <w:r w:rsidRPr="00E454FB">
        <w:rPr>
          <w:rFonts w:eastAsia="Calibri" w:cs="Arial"/>
          <w:noProof/>
          <w:szCs w:val="18"/>
          <w:lang w:val="en-ZA"/>
        </w:rPr>
        <w:drawing>
          <wp:inline distT="0" distB="0" distL="0" distR="0" wp14:anchorId="3CC0CEFE" wp14:editId="0AC9C436">
            <wp:extent cx="4600575" cy="2343150"/>
            <wp:effectExtent l="19050" t="19050" r="9525" b="1206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2343150"/>
                    </a:xfrm>
                    <a:prstGeom prst="rect">
                      <a:avLst/>
                    </a:prstGeom>
                    <a:noFill/>
                    <a:ln w="3175" cmpd="sng">
                      <a:solidFill>
                        <a:srgbClr val="000000"/>
                      </a:solidFill>
                      <a:miter lim="800000"/>
                      <a:headEnd/>
                      <a:tailEnd/>
                    </a:ln>
                    <a:effectLst/>
                  </pic:spPr>
                </pic:pic>
              </a:graphicData>
            </a:graphic>
          </wp:inline>
        </w:drawing>
      </w:r>
    </w:p>
    <w:p w14:paraId="55EEB494" w14:textId="4A2241AB" w:rsidR="00E454FB" w:rsidRPr="00E454FB" w:rsidRDefault="00E454FB" w:rsidP="00E454FB">
      <w:pPr>
        <w:tabs>
          <w:tab w:val="clear" w:pos="7100"/>
        </w:tabs>
        <w:spacing w:line="276" w:lineRule="auto"/>
        <w:rPr>
          <w:rFonts w:eastAsia="Calibri" w:cs="Arial"/>
          <w:color w:val="111111"/>
          <w:szCs w:val="18"/>
          <w:shd w:val="clear" w:color="auto" w:fill="FFFFFF"/>
          <w:lang w:val="en-US"/>
        </w:rPr>
      </w:pPr>
      <w:r w:rsidRPr="00E454FB">
        <w:rPr>
          <w:rFonts w:eastAsia="Calibri" w:cs="Arial"/>
          <w:b/>
          <w:bCs/>
          <w:color w:val="111111"/>
          <w:szCs w:val="18"/>
          <w:shd w:val="clear" w:color="auto" w:fill="FFFFFF"/>
          <w:lang w:val="en-US"/>
        </w:rPr>
        <w:t>Figure 2:</w:t>
      </w:r>
      <w:r w:rsidRPr="00E454FB">
        <w:rPr>
          <w:rFonts w:eastAsia="Calibri" w:cs="Arial"/>
          <w:szCs w:val="18"/>
          <w:lang w:val="en-ZA"/>
        </w:rPr>
        <w:t xml:space="preserve"> (A) Langmuir, (B) Freundlich adsorption isotherm of </w:t>
      </w:r>
      <w:r w:rsidR="00962379">
        <w:rPr>
          <w:rFonts w:eastAsia="Calibri" w:cs="Arial"/>
          <w:szCs w:val="18"/>
          <w:lang w:val="en-ZA"/>
        </w:rPr>
        <w:t>Pd (II)</w:t>
      </w:r>
      <w:r w:rsidRPr="00E454FB">
        <w:rPr>
          <w:rFonts w:eastAsia="Calibri" w:cs="Arial"/>
          <w:szCs w:val="18"/>
          <w:lang w:val="en-ZA"/>
        </w:rPr>
        <w:t xml:space="preserve"> onto </w:t>
      </w:r>
      <w:r w:rsidRPr="00E454FB">
        <w:rPr>
          <w:rFonts w:eastAsia="Calibri" w:cs="Arial"/>
          <w:color w:val="111111"/>
          <w:szCs w:val="18"/>
          <w:shd w:val="clear" w:color="auto" w:fill="FFFFFF"/>
          <w:lang w:val="en-US"/>
        </w:rPr>
        <w:t>P41C.</w:t>
      </w:r>
    </w:p>
    <w:p w14:paraId="41927C64" w14:textId="77777777" w:rsidR="00E454FB" w:rsidRPr="00E454FB" w:rsidRDefault="00E454FB" w:rsidP="00E454FB">
      <w:pPr>
        <w:tabs>
          <w:tab w:val="clear" w:pos="7100"/>
        </w:tabs>
        <w:spacing w:line="276" w:lineRule="auto"/>
        <w:rPr>
          <w:rFonts w:eastAsia="Calibri" w:cs="Arial"/>
          <w:color w:val="111111"/>
          <w:szCs w:val="18"/>
          <w:shd w:val="clear" w:color="auto" w:fill="FFFFFF"/>
          <w:lang w:val="en-US"/>
        </w:rPr>
      </w:pPr>
    </w:p>
    <w:p w14:paraId="59A19B0C" w14:textId="2B9F1191" w:rsidR="00E454FB" w:rsidRDefault="00E454FB" w:rsidP="00E04277">
      <w:pPr>
        <w:tabs>
          <w:tab w:val="clear" w:pos="7100"/>
        </w:tabs>
        <w:spacing w:line="276" w:lineRule="auto"/>
        <w:rPr>
          <w:rFonts w:eastAsia="Calibri" w:cs="Arial"/>
          <w:szCs w:val="18"/>
          <w:lang w:val="en-ZA"/>
        </w:rPr>
      </w:pPr>
      <w:r w:rsidRPr="00E454FB">
        <w:rPr>
          <w:rFonts w:eastAsia="Calibri" w:cs="Arial"/>
          <w:color w:val="111111"/>
          <w:szCs w:val="18"/>
          <w:shd w:val="clear" w:color="auto" w:fill="FFFFFF"/>
          <w:lang w:val="en-US"/>
        </w:rPr>
        <w:t xml:space="preserve">The results show that </w:t>
      </w:r>
      <w:r w:rsidR="00962379">
        <w:rPr>
          <w:rFonts w:eastAsia="Calibri" w:cs="Arial"/>
          <w:color w:val="111111"/>
          <w:szCs w:val="18"/>
          <w:shd w:val="clear" w:color="auto" w:fill="FFFFFF"/>
          <w:lang w:val="en-US"/>
        </w:rPr>
        <w:t>Pd (II)</w:t>
      </w:r>
      <w:r w:rsidRPr="00E454FB">
        <w:rPr>
          <w:rFonts w:eastAsia="Calibri" w:cs="Arial"/>
          <w:color w:val="111111"/>
          <w:szCs w:val="18"/>
          <w:shd w:val="clear" w:color="auto" w:fill="FFFFFF"/>
          <w:lang w:val="en-US"/>
        </w:rPr>
        <w:t xml:space="preserve"> adsorption occurred on a homogeneous surface via monolayer adsorption with no interaction between the adsorbed metal ions; additionally, the Langmuir isotherm assumes that all surface sites are alike and can only accommodate one adsorbed molecule, that a molecule's ability to be adsorbed on a given site is independent of its neighboring site occupancy, the adsorbed molecule cannot migrate across the surface or interact with neighboring molecules and adsorption is reversible (Govindarajan </w:t>
      </w:r>
      <w:r w:rsidRPr="00E454FB">
        <w:rPr>
          <w:rFonts w:eastAsia="Calibri" w:cs="Arial"/>
          <w:i/>
          <w:iCs/>
          <w:color w:val="111111"/>
          <w:szCs w:val="18"/>
          <w:shd w:val="clear" w:color="auto" w:fill="FFFFFF"/>
          <w:lang w:val="en-US"/>
        </w:rPr>
        <w:t>et al</w:t>
      </w:r>
      <w:r w:rsidRPr="00E454FB">
        <w:rPr>
          <w:rFonts w:eastAsia="Calibri" w:cs="Arial"/>
          <w:color w:val="111111"/>
          <w:szCs w:val="18"/>
          <w:shd w:val="clear" w:color="auto" w:fill="FFFFFF"/>
          <w:lang w:val="en-US"/>
        </w:rPr>
        <w:t xml:space="preserve">., 2011).  As indicated in table 1 </w:t>
      </w:r>
      <w:r w:rsidRPr="00E454FB">
        <w:rPr>
          <w:rFonts w:eastAsia="Calibri" w:cs="Arial"/>
          <w:szCs w:val="18"/>
          <w:lang w:val="en-ZA"/>
        </w:rPr>
        <w:t>the adsorption constants of Langmuir isotherm model parameters, q</w:t>
      </w:r>
      <w:r w:rsidRPr="00E454FB">
        <w:rPr>
          <w:rFonts w:eastAsia="Calibri" w:cs="Arial"/>
          <w:szCs w:val="18"/>
          <w:vertAlign w:val="subscript"/>
          <w:lang w:val="en-ZA"/>
        </w:rPr>
        <w:t>max</w:t>
      </w:r>
      <w:r w:rsidRPr="00E454FB">
        <w:rPr>
          <w:rFonts w:eastAsia="Calibri" w:cs="Arial"/>
          <w:szCs w:val="18"/>
          <w:lang w:val="en-ZA"/>
        </w:rPr>
        <w:t xml:space="preserve"> and K</w:t>
      </w:r>
      <w:r w:rsidRPr="00E454FB">
        <w:rPr>
          <w:rFonts w:eastAsia="Calibri" w:cs="Arial"/>
          <w:szCs w:val="18"/>
          <w:vertAlign w:val="subscript"/>
          <w:lang w:val="en-ZA"/>
        </w:rPr>
        <w:t>L</w:t>
      </w:r>
      <w:r w:rsidRPr="00E454FB">
        <w:rPr>
          <w:rFonts w:eastAsia="Calibri" w:cs="Arial"/>
          <w:szCs w:val="18"/>
          <w:lang w:val="en-ZA"/>
        </w:rPr>
        <w:t xml:space="preserve">, which were calculated using the Langmuir isotherm equation were obtained as </w:t>
      </w:r>
      <w:bookmarkStart w:id="4" w:name="_Hlk117781404"/>
      <w:r w:rsidRPr="00E454FB">
        <w:rPr>
          <w:rFonts w:eastAsia="Calibri" w:cs="Arial"/>
          <w:color w:val="111111"/>
          <w:szCs w:val="18"/>
          <w:shd w:val="clear" w:color="auto" w:fill="FFFFFF"/>
          <w:lang w:val="en-US"/>
        </w:rPr>
        <w:t>148.498</w:t>
      </w:r>
      <w:r w:rsidRPr="00E454FB">
        <w:rPr>
          <w:rFonts w:eastAsia="Calibri" w:cs="Arial"/>
          <w:szCs w:val="18"/>
          <w:lang w:val="en-ZA"/>
        </w:rPr>
        <w:t xml:space="preserve">mg/g </w:t>
      </w:r>
      <w:bookmarkEnd w:id="4"/>
      <w:r w:rsidRPr="00E454FB">
        <w:rPr>
          <w:rFonts w:eastAsia="Calibri" w:cs="Arial"/>
          <w:szCs w:val="18"/>
          <w:lang w:val="en-ZA"/>
        </w:rPr>
        <w:t xml:space="preserve">related to adsorption capacity and 0.135 /mg related to the rate of adsorption, respectively.  </w:t>
      </w:r>
      <w:bookmarkStart w:id="5" w:name="_Hlk127519934"/>
      <w:r w:rsidRPr="00E454FB">
        <w:rPr>
          <w:rFonts w:eastAsia="Calibri" w:cs="Arial"/>
          <w:szCs w:val="18"/>
          <w:lang w:val="en-ZA"/>
        </w:rPr>
        <w:t>It is worth noting that the value of q</w:t>
      </w:r>
      <w:r w:rsidRPr="00E454FB">
        <w:rPr>
          <w:rFonts w:eastAsia="Calibri" w:cs="Arial"/>
          <w:szCs w:val="18"/>
          <w:vertAlign w:val="subscript"/>
          <w:lang w:val="en-ZA"/>
        </w:rPr>
        <w:t>max</w:t>
      </w:r>
      <w:r w:rsidRPr="00E454FB">
        <w:rPr>
          <w:rFonts w:eastAsia="Calibri" w:cs="Arial"/>
          <w:szCs w:val="18"/>
          <w:lang w:val="en-ZA"/>
        </w:rPr>
        <w:t xml:space="preserve"> calculated from the Langmuir model (</w:t>
      </w:r>
      <w:r w:rsidRPr="00E454FB">
        <w:rPr>
          <w:rFonts w:eastAsia="Calibri" w:cs="Arial"/>
          <w:color w:val="111111"/>
          <w:szCs w:val="18"/>
          <w:shd w:val="clear" w:color="auto" w:fill="FFFFFF"/>
          <w:lang w:val="en-US"/>
        </w:rPr>
        <w:t>148.498</w:t>
      </w:r>
      <w:r w:rsidRPr="00E454FB">
        <w:rPr>
          <w:rFonts w:eastAsia="Calibri" w:cs="Arial"/>
          <w:szCs w:val="18"/>
          <w:lang w:val="en-ZA"/>
        </w:rPr>
        <w:t>mg/g),  was</w:t>
      </w:r>
      <w:r w:rsidR="00DD4671">
        <w:rPr>
          <w:rFonts w:eastAsia="Calibri" w:cs="Arial"/>
          <w:szCs w:val="18"/>
          <w:lang w:val="en-ZA"/>
        </w:rPr>
        <w:t xml:space="preserve"> slightly</w:t>
      </w:r>
      <w:r w:rsidRPr="00E454FB">
        <w:rPr>
          <w:rFonts w:eastAsia="Calibri" w:cs="Arial"/>
          <w:szCs w:val="18"/>
          <w:lang w:val="en-ZA"/>
        </w:rPr>
        <w:t xml:space="preserve"> higher compared to the experimental one (125 mg/g); suggesting that a larger amount of metal ions was needed to form the monolayer coverage </w:t>
      </w:r>
      <w:bookmarkEnd w:id="5"/>
      <w:r w:rsidRPr="00E454FB">
        <w:rPr>
          <w:rFonts w:eastAsia="Calibri" w:cs="Arial"/>
          <w:szCs w:val="18"/>
          <w:lang w:val="en-ZA"/>
        </w:rPr>
        <w:t>(</w:t>
      </w:r>
      <w:proofErr w:type="spellStart"/>
      <w:r w:rsidRPr="00E454FB">
        <w:rPr>
          <w:rFonts w:eastAsia="Calibri" w:cs="Arial"/>
          <w:szCs w:val="18"/>
          <w:lang w:val="en-ZA"/>
        </w:rPr>
        <w:t>Savastru</w:t>
      </w:r>
      <w:proofErr w:type="spellEnd"/>
      <w:r w:rsidRPr="00E454FB">
        <w:rPr>
          <w:rFonts w:eastAsia="Calibri" w:cs="Arial"/>
          <w:szCs w:val="18"/>
          <w:lang w:val="en-ZA"/>
        </w:rPr>
        <w:t xml:space="preserve"> </w:t>
      </w:r>
      <w:r w:rsidRPr="00E454FB">
        <w:rPr>
          <w:rFonts w:eastAsia="Calibri" w:cs="Arial"/>
          <w:i/>
          <w:iCs/>
          <w:szCs w:val="18"/>
          <w:lang w:val="en-ZA"/>
        </w:rPr>
        <w:t>et al</w:t>
      </w:r>
      <w:r w:rsidRPr="00E454FB">
        <w:rPr>
          <w:rFonts w:eastAsia="Calibri" w:cs="Arial"/>
          <w:szCs w:val="18"/>
          <w:lang w:val="en-ZA"/>
        </w:rPr>
        <w:t>., 2022).</w:t>
      </w:r>
    </w:p>
    <w:p w14:paraId="7597FDF8" w14:textId="6D12AC1D" w:rsidR="00E04277" w:rsidRDefault="00E04277" w:rsidP="00E04277">
      <w:pPr>
        <w:tabs>
          <w:tab w:val="clear" w:pos="7100"/>
        </w:tabs>
        <w:spacing w:line="276" w:lineRule="auto"/>
        <w:rPr>
          <w:rFonts w:eastAsia="Calibri" w:cs="Arial"/>
          <w:szCs w:val="18"/>
          <w:lang w:val="en-ZA"/>
        </w:rPr>
      </w:pPr>
    </w:p>
    <w:p w14:paraId="78C80D7C" w14:textId="77777777" w:rsidR="00962379" w:rsidRPr="00E454FB" w:rsidRDefault="00962379" w:rsidP="00F93829">
      <w:pPr>
        <w:pStyle w:val="NoSpacing"/>
        <w:rPr>
          <w:rFonts w:eastAsia="Calibri"/>
          <w:lang w:val="en-ZA"/>
        </w:rPr>
      </w:pPr>
    </w:p>
    <w:p w14:paraId="51372100" w14:textId="77777777" w:rsidR="00E77CD4" w:rsidRDefault="00E454FB" w:rsidP="00E77CD4">
      <w:pPr>
        <w:tabs>
          <w:tab w:val="clear" w:pos="7100"/>
        </w:tabs>
        <w:spacing w:after="200" w:line="276" w:lineRule="auto"/>
        <w:rPr>
          <w:rFonts w:eastAsia="Calibri" w:cs="Arial"/>
          <w:b/>
          <w:bCs/>
          <w:szCs w:val="18"/>
          <w:lang w:val="en-US"/>
        </w:rPr>
      </w:pPr>
      <w:r w:rsidRPr="00E454FB">
        <w:rPr>
          <w:rFonts w:eastAsia="Calibri" w:cs="Arial"/>
          <w:b/>
          <w:bCs/>
          <w:szCs w:val="18"/>
          <w:lang w:val="en-US"/>
        </w:rPr>
        <w:t>3.</w:t>
      </w:r>
      <w:r w:rsidR="00200862">
        <w:rPr>
          <w:rFonts w:eastAsia="Calibri" w:cs="Arial"/>
          <w:b/>
          <w:bCs/>
          <w:szCs w:val="18"/>
          <w:lang w:val="en-US"/>
        </w:rPr>
        <w:t>2</w:t>
      </w:r>
      <w:r w:rsidRPr="00E454FB">
        <w:rPr>
          <w:rFonts w:eastAsia="Calibri" w:cs="Arial"/>
          <w:b/>
          <w:bCs/>
          <w:szCs w:val="18"/>
          <w:lang w:val="en-US"/>
        </w:rPr>
        <w:t xml:space="preserve"> Kinetics</w:t>
      </w:r>
    </w:p>
    <w:p w14:paraId="283C9CFC" w14:textId="75A6E74E" w:rsidR="00E454FB" w:rsidRPr="00E454FB" w:rsidRDefault="00E454FB" w:rsidP="00E77CD4">
      <w:pPr>
        <w:tabs>
          <w:tab w:val="clear" w:pos="7100"/>
        </w:tabs>
        <w:spacing w:after="200" w:line="276" w:lineRule="auto"/>
        <w:rPr>
          <w:rFonts w:eastAsia="Calibri" w:cs="Arial"/>
          <w:b/>
          <w:bCs/>
          <w:szCs w:val="18"/>
          <w:lang w:val="en-US"/>
        </w:rPr>
      </w:pPr>
      <w:r w:rsidRPr="00E454FB">
        <w:rPr>
          <w:rFonts w:eastAsia="Calibri" w:cs="Arial"/>
          <w:color w:val="111111"/>
          <w:szCs w:val="18"/>
          <w:shd w:val="clear" w:color="auto" w:fill="FFFFFF"/>
          <w:lang w:val="en-US"/>
        </w:rPr>
        <w:t xml:space="preserve">Adsorption kinetic studies yields information on the adsorption rate, adsorbent performance, and mass transfer mechanisms; understanding adsorption kinetics is critical for designing adsorption systems. (Wang and Gou, 2020).  In order to characterize the kinetics of  </w:t>
      </w:r>
      <w:r w:rsidR="00962379">
        <w:rPr>
          <w:rFonts w:eastAsia="Calibri" w:cs="Arial"/>
          <w:color w:val="111111"/>
          <w:szCs w:val="18"/>
          <w:shd w:val="clear" w:color="auto" w:fill="FFFFFF"/>
          <w:lang w:val="en-US"/>
        </w:rPr>
        <w:t>Pd (II)</w:t>
      </w:r>
      <w:r w:rsidRPr="00E454FB">
        <w:rPr>
          <w:rFonts w:eastAsia="Calibri" w:cs="Arial"/>
          <w:color w:val="111111"/>
          <w:szCs w:val="18"/>
          <w:shd w:val="clear" w:color="auto" w:fill="FFFFFF"/>
          <w:lang w:val="en-US"/>
        </w:rPr>
        <w:t xml:space="preserve"> onto P41C, the models</w:t>
      </w:r>
      <w:r w:rsidRPr="00E454FB">
        <w:rPr>
          <w:rFonts w:eastAsia="Calibri" w:cs="Arial"/>
          <w:szCs w:val="18"/>
          <w:lang w:val="en-ZA"/>
        </w:rPr>
        <w:t xml:space="preserve"> pseudo-first order model and pseudo-second order model were utilized for the analysis of the experimental results</w:t>
      </w:r>
      <w:r w:rsidR="00DD4671">
        <w:rPr>
          <w:rFonts w:eastAsia="Calibri" w:cs="Arial"/>
          <w:szCs w:val="18"/>
          <w:lang w:val="en-ZA"/>
        </w:rPr>
        <w:t xml:space="preserve">.  </w:t>
      </w:r>
      <w:r w:rsidRPr="00E454FB">
        <w:rPr>
          <w:rFonts w:eastAsia="Calibri" w:cs="Arial"/>
          <w:szCs w:val="18"/>
          <w:lang w:val="en-ZA"/>
        </w:rPr>
        <w:t xml:space="preserve">The values of the obtained of the </w:t>
      </w:r>
      <w:bookmarkStart w:id="6" w:name="_Hlk118737672"/>
      <w:r w:rsidRPr="00E454FB">
        <w:rPr>
          <w:rFonts w:eastAsia="Calibri" w:cs="Arial"/>
          <w:szCs w:val="18"/>
          <w:lang w:val="en-ZA"/>
        </w:rPr>
        <w:t>coefficient of correlation R</w:t>
      </w:r>
      <w:r w:rsidRPr="00E454FB">
        <w:rPr>
          <w:rFonts w:eastAsia="Calibri" w:cs="Arial"/>
          <w:szCs w:val="18"/>
          <w:vertAlign w:val="superscript"/>
          <w:lang w:val="en-ZA"/>
        </w:rPr>
        <w:t>2</w:t>
      </w:r>
      <w:bookmarkEnd w:id="6"/>
      <w:r w:rsidRPr="00E454FB">
        <w:rPr>
          <w:rFonts w:eastAsia="Calibri" w:cs="Arial"/>
          <w:szCs w:val="18"/>
          <w:lang w:val="en-ZA"/>
        </w:rPr>
        <w:t>,  calibrated adsorption capacity q</w:t>
      </w:r>
      <w:r w:rsidRPr="00E454FB">
        <w:rPr>
          <w:rFonts w:eastAsia="Calibri" w:cs="Arial"/>
          <w:szCs w:val="18"/>
          <w:vertAlign w:val="subscript"/>
          <w:lang w:val="en-ZA"/>
        </w:rPr>
        <w:t xml:space="preserve">e </w:t>
      </w:r>
      <w:proofErr w:type="spellStart"/>
      <w:r w:rsidRPr="00E454FB">
        <w:rPr>
          <w:rFonts w:eastAsia="Calibri" w:cs="Arial"/>
          <w:szCs w:val="18"/>
          <w:vertAlign w:val="subscript"/>
          <w:lang w:val="en-ZA"/>
        </w:rPr>
        <w:t>cal</w:t>
      </w:r>
      <w:proofErr w:type="spellEnd"/>
      <w:r w:rsidRPr="00E454FB">
        <w:rPr>
          <w:rFonts w:eastAsia="Calibri" w:cs="Arial"/>
          <w:szCs w:val="18"/>
          <w:lang w:val="en-ZA"/>
        </w:rPr>
        <w:t xml:space="preserve"> and rate constants K</w:t>
      </w:r>
      <w:r w:rsidRPr="00E454FB">
        <w:rPr>
          <w:rFonts w:eastAsia="Calibri" w:cs="Arial"/>
          <w:szCs w:val="18"/>
          <w:vertAlign w:val="subscript"/>
          <w:lang w:val="en-ZA"/>
        </w:rPr>
        <w:t>1</w:t>
      </w:r>
      <w:r w:rsidRPr="00E454FB">
        <w:rPr>
          <w:rFonts w:eastAsia="Calibri" w:cs="Arial"/>
          <w:szCs w:val="18"/>
          <w:lang w:val="en-ZA"/>
        </w:rPr>
        <w:t xml:space="preserve"> and K</w:t>
      </w:r>
      <w:r w:rsidRPr="00E454FB">
        <w:rPr>
          <w:rFonts w:eastAsia="Calibri" w:cs="Arial"/>
          <w:szCs w:val="18"/>
          <w:vertAlign w:val="subscript"/>
          <w:lang w:val="en-ZA"/>
        </w:rPr>
        <w:t xml:space="preserve">2 </w:t>
      </w:r>
      <w:r w:rsidRPr="00E454FB">
        <w:rPr>
          <w:rFonts w:eastAsia="Calibri" w:cs="Arial"/>
          <w:szCs w:val="18"/>
          <w:lang w:val="en-ZA"/>
        </w:rPr>
        <w:t xml:space="preserve">obtained from kinetic studies are presented in table 2. </w:t>
      </w:r>
    </w:p>
    <w:p w14:paraId="385F24F9" w14:textId="61560915" w:rsidR="00E454FB" w:rsidRPr="00E454FB" w:rsidRDefault="00E454FB" w:rsidP="00E454FB">
      <w:pPr>
        <w:tabs>
          <w:tab w:val="clear" w:pos="7100"/>
        </w:tabs>
        <w:spacing w:line="276" w:lineRule="auto"/>
        <w:rPr>
          <w:rFonts w:eastAsia="Calibri" w:cs="Arial"/>
          <w:szCs w:val="18"/>
          <w:lang w:val="en-ZA"/>
        </w:rPr>
      </w:pPr>
      <w:r w:rsidRPr="00E454FB">
        <w:rPr>
          <w:rFonts w:eastAsia="Calibri" w:cs="Arial"/>
          <w:b/>
          <w:bCs/>
          <w:szCs w:val="18"/>
          <w:lang w:val="en-ZA"/>
        </w:rPr>
        <w:lastRenderedPageBreak/>
        <w:t>Table 2</w:t>
      </w:r>
      <w:r w:rsidRPr="00E454FB">
        <w:rPr>
          <w:rFonts w:eastAsia="Calibri" w:cs="Arial"/>
          <w:szCs w:val="18"/>
          <w:lang w:val="en-ZA"/>
        </w:rPr>
        <w:t xml:space="preserve">: Calculated parameters of the </w:t>
      </w:r>
      <w:r w:rsidR="00962379">
        <w:t>P</w:t>
      </w:r>
      <w:r w:rsidR="00962379" w:rsidRPr="002166AB">
        <w:t>seudo-</w:t>
      </w:r>
      <w:r w:rsidR="00962379">
        <w:t>F</w:t>
      </w:r>
      <w:r w:rsidR="00962379" w:rsidRPr="002166AB">
        <w:t xml:space="preserve">irst </w:t>
      </w:r>
      <w:r w:rsidR="00962379">
        <w:t>O</w:t>
      </w:r>
      <w:r w:rsidR="00962379" w:rsidRPr="002166AB">
        <w:t>rder</w:t>
      </w:r>
      <w:r w:rsidR="00795105">
        <w:t xml:space="preserve"> </w:t>
      </w:r>
      <w:r w:rsidR="00962379" w:rsidRPr="002166AB">
        <w:t xml:space="preserve">and </w:t>
      </w:r>
      <w:r w:rsidR="00962379">
        <w:t>P</w:t>
      </w:r>
      <w:r w:rsidR="00962379" w:rsidRPr="002166AB">
        <w:t>seudo-</w:t>
      </w:r>
      <w:r w:rsidR="00962379">
        <w:t>S</w:t>
      </w:r>
      <w:r w:rsidR="00962379" w:rsidRPr="002166AB">
        <w:t xml:space="preserve">econd </w:t>
      </w:r>
      <w:r w:rsidR="00962379">
        <w:t>O</w:t>
      </w:r>
      <w:r w:rsidR="00962379" w:rsidRPr="002166AB">
        <w:t>rder</w:t>
      </w:r>
      <w:r w:rsidR="00962379" w:rsidRPr="00E454FB">
        <w:rPr>
          <w:rFonts w:eastAsia="Calibri" w:cs="Arial"/>
          <w:szCs w:val="18"/>
          <w:lang w:val="en-ZA"/>
        </w:rPr>
        <w:t xml:space="preserve"> </w:t>
      </w:r>
      <w:r w:rsidRPr="00E454FB">
        <w:rPr>
          <w:rFonts w:eastAsia="Calibri" w:cs="Arial"/>
          <w:szCs w:val="18"/>
          <w:lang w:val="en-ZA"/>
        </w:rPr>
        <w:t xml:space="preserve">kinetic models </w:t>
      </w:r>
      <w:r w:rsidR="00962379">
        <w:rPr>
          <w:rFonts w:eastAsia="Calibri" w:cs="Arial"/>
          <w:szCs w:val="18"/>
          <w:lang w:val="en-ZA"/>
        </w:rPr>
        <w:t>for</w:t>
      </w:r>
      <w:r w:rsidRPr="00E454FB">
        <w:rPr>
          <w:rFonts w:eastAsia="Calibri" w:cs="Arial"/>
          <w:szCs w:val="18"/>
          <w:lang w:val="en-ZA"/>
        </w:rPr>
        <w:t xml:space="preserve"> the adsorption of </w:t>
      </w:r>
      <w:r w:rsidR="00962379">
        <w:rPr>
          <w:rFonts w:eastAsia="Calibri" w:cs="Arial"/>
          <w:szCs w:val="18"/>
          <w:lang w:val="en-ZA"/>
        </w:rPr>
        <w:t>Pd (II)</w:t>
      </w:r>
      <w:r w:rsidRPr="00E454FB">
        <w:rPr>
          <w:rFonts w:eastAsia="Calibri" w:cs="Arial"/>
          <w:szCs w:val="18"/>
          <w:lang w:val="en-ZA"/>
        </w:rPr>
        <w:t xml:space="preserve"> by P41C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5"/>
        <w:gridCol w:w="1466"/>
        <w:gridCol w:w="1466"/>
        <w:gridCol w:w="1464"/>
        <w:gridCol w:w="1464"/>
        <w:gridCol w:w="1462"/>
      </w:tblGrid>
      <w:tr w:rsidR="00723449" w:rsidRPr="00795105" w14:paraId="3560C6AB" w14:textId="77777777" w:rsidTr="00795105">
        <w:tc>
          <w:tcPr>
            <w:tcW w:w="834" w:type="pct"/>
            <w:tcBorders>
              <w:top w:val="single" w:sz="12" w:space="0" w:color="008000"/>
              <w:bottom w:val="single" w:sz="6" w:space="0" w:color="008000"/>
            </w:tcBorders>
            <w:shd w:val="clear" w:color="auto" w:fill="FFFFFF"/>
          </w:tcPr>
          <w:p w14:paraId="6A06BC61" w14:textId="77777777" w:rsidR="00723449" w:rsidRPr="00795105" w:rsidRDefault="00723449" w:rsidP="00DC2153">
            <w:pPr>
              <w:pStyle w:val="CETBodytext"/>
              <w:rPr>
                <w:szCs w:val="18"/>
                <w:lang w:val="en-GB"/>
              </w:rPr>
            </w:pPr>
            <w:r w:rsidRPr="00E454FB">
              <w:rPr>
                <w:rFonts w:eastAsia="Calibri" w:cs="Arial"/>
                <w:b/>
                <w:bCs/>
                <w:szCs w:val="18"/>
                <w:lang w:val="en-ZA"/>
              </w:rPr>
              <w:t>Kinetic Model</w:t>
            </w:r>
          </w:p>
        </w:tc>
        <w:tc>
          <w:tcPr>
            <w:tcW w:w="834" w:type="pct"/>
            <w:tcBorders>
              <w:top w:val="single" w:sz="12" w:space="0" w:color="008000"/>
              <w:bottom w:val="single" w:sz="6" w:space="0" w:color="008000"/>
            </w:tcBorders>
            <w:shd w:val="clear" w:color="auto" w:fill="FFFFFF"/>
          </w:tcPr>
          <w:p w14:paraId="1F75C871" w14:textId="77777777" w:rsidR="00723449" w:rsidRPr="00795105" w:rsidRDefault="00723449" w:rsidP="00DC2153">
            <w:pPr>
              <w:pStyle w:val="CETBodytext"/>
              <w:rPr>
                <w:szCs w:val="18"/>
                <w:lang w:val="en-GB"/>
              </w:rPr>
            </w:pPr>
            <w:r w:rsidRPr="00E454FB">
              <w:rPr>
                <w:rFonts w:eastAsia="Calibri" w:cs="Arial"/>
                <w:b/>
                <w:bCs/>
                <w:szCs w:val="18"/>
                <w:lang w:val="en-ZA"/>
              </w:rPr>
              <w:t>Parameter</w:t>
            </w:r>
          </w:p>
        </w:tc>
        <w:tc>
          <w:tcPr>
            <w:tcW w:w="834" w:type="pct"/>
            <w:tcBorders>
              <w:top w:val="single" w:sz="12" w:space="0" w:color="008000"/>
              <w:bottom w:val="single" w:sz="6" w:space="0" w:color="008000"/>
            </w:tcBorders>
            <w:shd w:val="clear" w:color="auto" w:fill="FFFFFF"/>
          </w:tcPr>
          <w:p w14:paraId="04976821" w14:textId="77777777" w:rsidR="00723449" w:rsidRPr="00795105" w:rsidRDefault="00723449" w:rsidP="00DC2153">
            <w:pPr>
              <w:pStyle w:val="CETBodytext"/>
              <w:rPr>
                <w:szCs w:val="18"/>
                <w:lang w:val="en-GB"/>
              </w:rPr>
            </w:pPr>
          </w:p>
        </w:tc>
        <w:tc>
          <w:tcPr>
            <w:tcW w:w="833" w:type="pct"/>
            <w:tcBorders>
              <w:top w:val="single" w:sz="12" w:space="0" w:color="008000"/>
              <w:bottom w:val="single" w:sz="6" w:space="0" w:color="008000"/>
            </w:tcBorders>
            <w:shd w:val="clear" w:color="auto" w:fill="FFFFFF"/>
          </w:tcPr>
          <w:p w14:paraId="3F825BA2" w14:textId="77777777" w:rsidR="00723449" w:rsidRPr="00795105" w:rsidRDefault="00723449" w:rsidP="00DC2153">
            <w:pPr>
              <w:pStyle w:val="CETBodytext"/>
              <w:rPr>
                <w:szCs w:val="18"/>
                <w:lang w:val="en-GB"/>
              </w:rPr>
            </w:pPr>
          </w:p>
        </w:tc>
        <w:tc>
          <w:tcPr>
            <w:tcW w:w="833" w:type="pct"/>
            <w:tcBorders>
              <w:top w:val="single" w:sz="12" w:space="0" w:color="008000"/>
              <w:bottom w:val="single" w:sz="6" w:space="0" w:color="008000"/>
            </w:tcBorders>
            <w:shd w:val="clear" w:color="auto" w:fill="FFFFFF"/>
          </w:tcPr>
          <w:p w14:paraId="07021EB0" w14:textId="30F95547" w:rsidR="00723449" w:rsidRPr="00795105" w:rsidRDefault="00723449" w:rsidP="00DC2153">
            <w:pPr>
              <w:pStyle w:val="CETBodytext"/>
              <w:rPr>
                <w:szCs w:val="18"/>
                <w:lang w:val="en-GB"/>
              </w:rPr>
            </w:pPr>
            <w:r w:rsidRPr="00E454FB">
              <w:rPr>
                <w:rFonts w:eastAsia="Calibri" w:cs="Arial"/>
                <w:b/>
                <w:bCs/>
                <w:szCs w:val="18"/>
                <w:lang w:val="en-ZA"/>
              </w:rPr>
              <w:t xml:space="preserve">Metal: </w:t>
            </w:r>
            <w:r w:rsidR="00962379" w:rsidRPr="00795105">
              <w:rPr>
                <w:rFonts w:eastAsia="Calibri" w:cs="Arial"/>
                <w:b/>
                <w:bCs/>
                <w:szCs w:val="18"/>
                <w:lang w:val="en-ZA"/>
              </w:rPr>
              <w:t>Pd (II)</w:t>
            </w:r>
            <w:r w:rsidRPr="00E454FB">
              <w:rPr>
                <w:rFonts w:eastAsia="Calibri" w:cs="Arial"/>
                <w:b/>
                <w:bCs/>
                <w:szCs w:val="18"/>
                <w:lang w:val="en-ZA"/>
              </w:rPr>
              <w:t xml:space="preserve"> (mg/l)</w:t>
            </w:r>
          </w:p>
        </w:tc>
        <w:tc>
          <w:tcPr>
            <w:tcW w:w="833" w:type="pct"/>
            <w:tcBorders>
              <w:top w:val="single" w:sz="12" w:space="0" w:color="008000"/>
              <w:bottom w:val="single" w:sz="6" w:space="0" w:color="008000"/>
            </w:tcBorders>
            <w:shd w:val="clear" w:color="auto" w:fill="FFFFFF"/>
          </w:tcPr>
          <w:p w14:paraId="775FE854" w14:textId="77777777" w:rsidR="00723449" w:rsidRPr="00795105" w:rsidRDefault="00723449" w:rsidP="00DC2153">
            <w:pPr>
              <w:pStyle w:val="CETBodytext"/>
              <w:rPr>
                <w:szCs w:val="18"/>
                <w:lang w:val="en-GB"/>
              </w:rPr>
            </w:pPr>
          </w:p>
        </w:tc>
      </w:tr>
      <w:tr w:rsidR="00723449" w:rsidRPr="00795105" w14:paraId="4B1EE67E" w14:textId="77777777" w:rsidTr="00795105">
        <w:tc>
          <w:tcPr>
            <w:tcW w:w="834" w:type="pct"/>
            <w:shd w:val="clear" w:color="auto" w:fill="FFFFFF"/>
          </w:tcPr>
          <w:p w14:paraId="5CB2542D" w14:textId="77777777" w:rsidR="00723449" w:rsidRPr="00795105" w:rsidRDefault="00723449" w:rsidP="00DC2153">
            <w:pPr>
              <w:pStyle w:val="CETBodytext"/>
              <w:rPr>
                <w:szCs w:val="18"/>
                <w:lang w:val="en-GB"/>
              </w:rPr>
            </w:pPr>
          </w:p>
        </w:tc>
        <w:tc>
          <w:tcPr>
            <w:tcW w:w="834" w:type="pct"/>
            <w:shd w:val="clear" w:color="auto" w:fill="FFFFFF"/>
          </w:tcPr>
          <w:p w14:paraId="40543C2E" w14:textId="77777777" w:rsidR="00723449" w:rsidRPr="00795105" w:rsidRDefault="00723449" w:rsidP="00DC2153">
            <w:pPr>
              <w:pStyle w:val="CETBodytext"/>
              <w:rPr>
                <w:szCs w:val="18"/>
                <w:lang w:val="en-GB"/>
              </w:rPr>
            </w:pPr>
          </w:p>
        </w:tc>
        <w:tc>
          <w:tcPr>
            <w:tcW w:w="834" w:type="pct"/>
            <w:shd w:val="clear" w:color="auto" w:fill="FFFFFF"/>
          </w:tcPr>
          <w:p w14:paraId="7A9597E2" w14:textId="77777777" w:rsidR="00723449" w:rsidRPr="00795105" w:rsidRDefault="00723449" w:rsidP="00DC2153">
            <w:pPr>
              <w:pStyle w:val="CETBodytext"/>
              <w:rPr>
                <w:szCs w:val="18"/>
                <w:lang w:val="en-GB"/>
              </w:rPr>
            </w:pPr>
            <w:r w:rsidRPr="00E454FB">
              <w:rPr>
                <w:rFonts w:eastAsia="Calibri" w:cs="Arial"/>
                <w:szCs w:val="18"/>
                <w:lang w:val="en-ZA"/>
              </w:rPr>
              <w:t>10</w:t>
            </w:r>
          </w:p>
        </w:tc>
        <w:tc>
          <w:tcPr>
            <w:tcW w:w="833" w:type="pct"/>
            <w:shd w:val="clear" w:color="auto" w:fill="FFFFFF"/>
          </w:tcPr>
          <w:p w14:paraId="57F0BDE0" w14:textId="77777777" w:rsidR="00723449" w:rsidRPr="00795105" w:rsidRDefault="00723449" w:rsidP="00DC2153">
            <w:pPr>
              <w:pStyle w:val="CETBodytext"/>
              <w:rPr>
                <w:szCs w:val="18"/>
                <w:lang w:val="en-GB"/>
              </w:rPr>
            </w:pPr>
            <w:r w:rsidRPr="00E454FB">
              <w:rPr>
                <w:rFonts w:eastAsia="Calibri" w:cs="Arial"/>
                <w:szCs w:val="18"/>
                <w:lang w:val="en-ZA"/>
              </w:rPr>
              <w:t>20</w:t>
            </w:r>
          </w:p>
        </w:tc>
        <w:tc>
          <w:tcPr>
            <w:tcW w:w="833" w:type="pct"/>
            <w:shd w:val="clear" w:color="auto" w:fill="FFFFFF"/>
          </w:tcPr>
          <w:p w14:paraId="49B10F1E" w14:textId="77777777" w:rsidR="00723449" w:rsidRPr="00795105" w:rsidRDefault="00723449" w:rsidP="00DC2153">
            <w:pPr>
              <w:pStyle w:val="CETBodytext"/>
              <w:rPr>
                <w:szCs w:val="18"/>
                <w:lang w:val="en-GB"/>
              </w:rPr>
            </w:pPr>
            <w:r w:rsidRPr="00E454FB">
              <w:rPr>
                <w:rFonts w:eastAsia="Calibri" w:cs="Arial"/>
                <w:szCs w:val="18"/>
                <w:lang w:val="en-ZA"/>
              </w:rPr>
              <w:t>30</w:t>
            </w:r>
          </w:p>
        </w:tc>
        <w:tc>
          <w:tcPr>
            <w:tcW w:w="833" w:type="pct"/>
            <w:shd w:val="clear" w:color="auto" w:fill="FFFFFF"/>
          </w:tcPr>
          <w:p w14:paraId="289DDC73" w14:textId="77777777" w:rsidR="00723449" w:rsidRPr="00795105" w:rsidRDefault="00723449" w:rsidP="00DC2153">
            <w:pPr>
              <w:pStyle w:val="CETBodytext"/>
              <w:rPr>
                <w:szCs w:val="18"/>
                <w:lang w:val="en-GB"/>
              </w:rPr>
            </w:pPr>
            <w:r w:rsidRPr="00E454FB">
              <w:rPr>
                <w:rFonts w:eastAsia="Calibri" w:cs="Arial"/>
                <w:szCs w:val="18"/>
                <w:lang w:val="en-ZA"/>
              </w:rPr>
              <w:t>50</w:t>
            </w:r>
          </w:p>
        </w:tc>
      </w:tr>
      <w:tr w:rsidR="00723449" w:rsidRPr="00795105" w14:paraId="14716293" w14:textId="77777777" w:rsidTr="00795105">
        <w:tc>
          <w:tcPr>
            <w:tcW w:w="834" w:type="pct"/>
            <w:shd w:val="clear" w:color="auto" w:fill="FFFFFF"/>
          </w:tcPr>
          <w:p w14:paraId="7B7D4AE2" w14:textId="77777777" w:rsidR="00723449" w:rsidRPr="00795105" w:rsidRDefault="00723449" w:rsidP="00DC2153">
            <w:pPr>
              <w:pStyle w:val="CETBodytext"/>
              <w:ind w:right="-1"/>
              <w:rPr>
                <w:rFonts w:cs="Arial"/>
                <w:szCs w:val="18"/>
                <w:lang w:val="en-GB"/>
              </w:rPr>
            </w:pPr>
          </w:p>
        </w:tc>
        <w:tc>
          <w:tcPr>
            <w:tcW w:w="834" w:type="pct"/>
            <w:shd w:val="clear" w:color="auto" w:fill="FFFFFF"/>
          </w:tcPr>
          <w:p w14:paraId="10AEBB83" w14:textId="77777777" w:rsidR="00723449" w:rsidRPr="00795105" w:rsidRDefault="00723449" w:rsidP="00DC2153">
            <w:pPr>
              <w:pStyle w:val="CETBodytext"/>
              <w:ind w:right="-1"/>
              <w:rPr>
                <w:rFonts w:cs="Arial"/>
                <w:szCs w:val="18"/>
                <w:lang w:val="en-GB"/>
              </w:rPr>
            </w:pPr>
            <w:r w:rsidRPr="00E454FB">
              <w:rPr>
                <w:rFonts w:eastAsia="Calibri" w:cs="Arial"/>
                <w:b/>
                <w:bCs/>
                <w:szCs w:val="18"/>
                <w:lang w:val="en-ZA"/>
              </w:rPr>
              <w:t>q</w:t>
            </w:r>
            <w:r w:rsidRPr="00E454FB">
              <w:rPr>
                <w:rFonts w:eastAsia="Calibri" w:cs="Arial"/>
                <w:b/>
                <w:bCs/>
                <w:szCs w:val="18"/>
                <w:vertAlign w:val="subscript"/>
                <w:lang w:val="en-ZA"/>
              </w:rPr>
              <w:t>e</w:t>
            </w:r>
            <w:r w:rsidRPr="00E454FB">
              <w:rPr>
                <w:rFonts w:eastAsia="Calibri" w:cs="Arial"/>
                <w:b/>
                <w:bCs/>
                <w:szCs w:val="18"/>
                <w:lang w:val="en-ZA"/>
              </w:rPr>
              <w:t xml:space="preserve"> </w:t>
            </w:r>
            <w:r w:rsidRPr="00E454FB">
              <w:rPr>
                <w:rFonts w:eastAsia="Calibri" w:cs="Arial"/>
                <w:b/>
                <w:bCs/>
                <w:szCs w:val="18"/>
                <w:vertAlign w:val="subscript"/>
                <w:lang w:val="en-ZA"/>
              </w:rPr>
              <w:t>exp</w:t>
            </w:r>
            <w:r w:rsidRPr="00E454FB">
              <w:rPr>
                <w:rFonts w:eastAsia="Calibri" w:cs="Arial"/>
                <w:b/>
                <w:bCs/>
                <w:szCs w:val="18"/>
                <w:lang w:val="en-ZA"/>
              </w:rPr>
              <w:t xml:space="preserve"> (mg/g)</w:t>
            </w:r>
          </w:p>
        </w:tc>
        <w:tc>
          <w:tcPr>
            <w:tcW w:w="834" w:type="pct"/>
            <w:shd w:val="clear" w:color="auto" w:fill="FFFFFF"/>
          </w:tcPr>
          <w:p w14:paraId="1A5C4A5D" w14:textId="77777777" w:rsidR="00723449" w:rsidRPr="00795105" w:rsidRDefault="00723449" w:rsidP="00DC2153">
            <w:pPr>
              <w:pStyle w:val="CETBodytext"/>
              <w:ind w:right="-1"/>
              <w:rPr>
                <w:rFonts w:cs="Arial"/>
                <w:szCs w:val="18"/>
                <w:lang w:val="en-GB"/>
              </w:rPr>
            </w:pPr>
            <w:r w:rsidRPr="00E454FB">
              <w:rPr>
                <w:rFonts w:eastAsia="Calibri" w:cs="Arial"/>
                <w:szCs w:val="18"/>
                <w:lang w:val="en-ZA"/>
              </w:rPr>
              <w:t>45.000</w:t>
            </w:r>
          </w:p>
        </w:tc>
        <w:tc>
          <w:tcPr>
            <w:tcW w:w="833" w:type="pct"/>
            <w:shd w:val="clear" w:color="auto" w:fill="FFFFFF"/>
          </w:tcPr>
          <w:p w14:paraId="619D86FC" w14:textId="77777777" w:rsidR="00723449" w:rsidRPr="00795105" w:rsidRDefault="00723449" w:rsidP="00DC2153">
            <w:pPr>
              <w:pStyle w:val="CETBodytext"/>
              <w:ind w:right="-1"/>
              <w:rPr>
                <w:rFonts w:cs="Arial"/>
                <w:szCs w:val="18"/>
                <w:lang w:val="en-GB"/>
              </w:rPr>
            </w:pPr>
            <w:r w:rsidRPr="00E454FB">
              <w:rPr>
                <w:rFonts w:eastAsia="Calibri" w:cs="Arial"/>
                <w:szCs w:val="18"/>
                <w:lang w:val="en-ZA"/>
              </w:rPr>
              <w:t>60.000</w:t>
            </w:r>
          </w:p>
        </w:tc>
        <w:tc>
          <w:tcPr>
            <w:tcW w:w="833" w:type="pct"/>
            <w:shd w:val="clear" w:color="auto" w:fill="FFFFFF"/>
          </w:tcPr>
          <w:p w14:paraId="73504A09" w14:textId="77777777" w:rsidR="00723449" w:rsidRPr="00795105" w:rsidRDefault="00723449" w:rsidP="00DC2153">
            <w:pPr>
              <w:pStyle w:val="CETBodytext"/>
              <w:ind w:right="-1"/>
              <w:rPr>
                <w:rFonts w:cs="Arial"/>
                <w:szCs w:val="18"/>
                <w:lang w:val="en-GB"/>
              </w:rPr>
            </w:pPr>
            <w:r w:rsidRPr="00E454FB">
              <w:rPr>
                <w:rFonts w:eastAsia="Calibri" w:cs="Arial"/>
                <w:szCs w:val="18"/>
                <w:lang w:val="en-ZA"/>
              </w:rPr>
              <w:t>80.000</w:t>
            </w:r>
          </w:p>
        </w:tc>
        <w:tc>
          <w:tcPr>
            <w:tcW w:w="833" w:type="pct"/>
            <w:shd w:val="clear" w:color="auto" w:fill="FFFFFF"/>
          </w:tcPr>
          <w:p w14:paraId="6A3528F6" w14:textId="77777777" w:rsidR="00723449" w:rsidRPr="00795105" w:rsidRDefault="00723449" w:rsidP="00DC2153">
            <w:pPr>
              <w:pStyle w:val="CETBodytext"/>
              <w:ind w:right="-1"/>
              <w:rPr>
                <w:rFonts w:cs="Arial"/>
                <w:szCs w:val="18"/>
                <w:lang w:val="en-GB"/>
              </w:rPr>
            </w:pPr>
            <w:r w:rsidRPr="00E454FB">
              <w:rPr>
                <w:rFonts w:eastAsia="Calibri" w:cs="Arial"/>
                <w:szCs w:val="18"/>
                <w:lang w:val="en-ZA"/>
              </w:rPr>
              <w:t>125.000</w:t>
            </w:r>
          </w:p>
        </w:tc>
      </w:tr>
      <w:tr w:rsidR="00795105" w:rsidRPr="00795105" w14:paraId="349387E5" w14:textId="77777777" w:rsidTr="00795105">
        <w:tc>
          <w:tcPr>
            <w:tcW w:w="834" w:type="pct"/>
            <w:shd w:val="clear" w:color="auto" w:fill="FFFFFF"/>
          </w:tcPr>
          <w:p w14:paraId="5CDF68E2" w14:textId="51BFDEF3" w:rsidR="00795105" w:rsidRPr="00795105" w:rsidRDefault="00795105" w:rsidP="00795105">
            <w:pPr>
              <w:pStyle w:val="CETBodytext"/>
              <w:ind w:right="-1"/>
              <w:rPr>
                <w:rFonts w:cs="Arial"/>
                <w:szCs w:val="18"/>
                <w:lang w:val="en-GB"/>
              </w:rPr>
            </w:pPr>
          </w:p>
        </w:tc>
        <w:tc>
          <w:tcPr>
            <w:tcW w:w="834" w:type="pct"/>
            <w:shd w:val="clear" w:color="auto" w:fill="FFFFFF"/>
          </w:tcPr>
          <w:p w14:paraId="01C78AE2" w14:textId="77777777" w:rsidR="00795105" w:rsidRPr="00795105" w:rsidRDefault="00795105" w:rsidP="00795105">
            <w:pPr>
              <w:pStyle w:val="CETBodytext"/>
              <w:ind w:right="-1"/>
              <w:rPr>
                <w:rFonts w:eastAsia="Calibri" w:cs="Arial"/>
                <w:b/>
                <w:bCs/>
                <w:szCs w:val="18"/>
                <w:lang w:val="en-ZA"/>
              </w:rPr>
            </w:pPr>
            <w:r w:rsidRPr="00E454FB">
              <w:rPr>
                <w:rFonts w:eastAsia="Calibri" w:cs="Arial"/>
                <w:b/>
                <w:bCs/>
                <w:szCs w:val="18"/>
                <w:lang w:val="en-ZA"/>
              </w:rPr>
              <w:t>R</w:t>
            </w:r>
            <w:r w:rsidRPr="00E454FB">
              <w:rPr>
                <w:rFonts w:eastAsia="Calibri" w:cs="Arial"/>
                <w:b/>
                <w:bCs/>
                <w:szCs w:val="18"/>
                <w:vertAlign w:val="superscript"/>
                <w:lang w:val="en-ZA"/>
              </w:rPr>
              <w:t>2</w:t>
            </w:r>
          </w:p>
        </w:tc>
        <w:tc>
          <w:tcPr>
            <w:tcW w:w="834" w:type="pct"/>
            <w:shd w:val="clear" w:color="auto" w:fill="FFFFFF"/>
          </w:tcPr>
          <w:p w14:paraId="5F27BF57" w14:textId="77777777" w:rsidR="00795105" w:rsidRPr="00795105" w:rsidRDefault="00795105" w:rsidP="00795105">
            <w:pPr>
              <w:pStyle w:val="CETBodytext"/>
              <w:ind w:right="-1"/>
              <w:rPr>
                <w:rFonts w:eastAsia="Calibri" w:cs="Arial"/>
                <w:szCs w:val="18"/>
                <w:lang w:val="en-ZA"/>
              </w:rPr>
            </w:pPr>
            <w:r w:rsidRPr="00E454FB">
              <w:rPr>
                <w:rFonts w:eastAsia="Calibri" w:cs="Arial"/>
                <w:szCs w:val="18"/>
                <w:lang w:val="en-ZA"/>
              </w:rPr>
              <w:t>0.950</w:t>
            </w:r>
          </w:p>
        </w:tc>
        <w:tc>
          <w:tcPr>
            <w:tcW w:w="833" w:type="pct"/>
            <w:shd w:val="clear" w:color="auto" w:fill="FFFFFF"/>
          </w:tcPr>
          <w:p w14:paraId="12E45224" w14:textId="77777777" w:rsidR="00795105" w:rsidRPr="00795105" w:rsidRDefault="00795105" w:rsidP="00795105">
            <w:pPr>
              <w:pStyle w:val="CETBodytext"/>
              <w:ind w:right="-1"/>
              <w:rPr>
                <w:rFonts w:eastAsia="Calibri" w:cs="Arial"/>
                <w:szCs w:val="18"/>
                <w:lang w:val="en-ZA"/>
              </w:rPr>
            </w:pPr>
            <w:r w:rsidRPr="00E454FB">
              <w:rPr>
                <w:rFonts w:eastAsia="Calibri" w:cs="Arial"/>
                <w:szCs w:val="18"/>
                <w:lang w:val="en-ZA"/>
              </w:rPr>
              <w:t>0.543</w:t>
            </w:r>
          </w:p>
        </w:tc>
        <w:tc>
          <w:tcPr>
            <w:tcW w:w="833" w:type="pct"/>
            <w:shd w:val="clear" w:color="auto" w:fill="FFFFFF"/>
          </w:tcPr>
          <w:p w14:paraId="5C2FD7EA" w14:textId="77777777" w:rsidR="00795105" w:rsidRPr="00795105" w:rsidRDefault="00795105" w:rsidP="00795105">
            <w:pPr>
              <w:pStyle w:val="CETBodytext"/>
              <w:ind w:right="-1"/>
              <w:rPr>
                <w:rFonts w:eastAsia="Calibri" w:cs="Arial"/>
                <w:szCs w:val="18"/>
                <w:lang w:val="en-ZA"/>
              </w:rPr>
            </w:pPr>
            <w:r w:rsidRPr="00E454FB">
              <w:rPr>
                <w:rFonts w:eastAsia="Calibri" w:cs="Arial"/>
                <w:szCs w:val="18"/>
                <w:lang w:val="en-ZA"/>
              </w:rPr>
              <w:t>0.759</w:t>
            </w:r>
          </w:p>
        </w:tc>
        <w:tc>
          <w:tcPr>
            <w:tcW w:w="833" w:type="pct"/>
            <w:shd w:val="clear" w:color="auto" w:fill="FFFFFF"/>
          </w:tcPr>
          <w:p w14:paraId="327B05A0" w14:textId="77777777" w:rsidR="00795105" w:rsidRPr="00795105" w:rsidRDefault="00795105" w:rsidP="00795105">
            <w:pPr>
              <w:pStyle w:val="CETBodytext"/>
              <w:ind w:right="-1"/>
              <w:rPr>
                <w:rFonts w:eastAsia="Calibri" w:cs="Arial"/>
                <w:szCs w:val="18"/>
                <w:lang w:val="en-ZA"/>
              </w:rPr>
            </w:pPr>
            <w:r w:rsidRPr="00E454FB">
              <w:rPr>
                <w:rFonts w:eastAsia="Calibri" w:cs="Arial"/>
                <w:szCs w:val="18"/>
                <w:lang w:val="en-ZA"/>
              </w:rPr>
              <w:t>0.970</w:t>
            </w:r>
          </w:p>
        </w:tc>
      </w:tr>
      <w:tr w:rsidR="00795105" w:rsidRPr="00795105" w14:paraId="00B2D882" w14:textId="77777777" w:rsidTr="00795105">
        <w:tc>
          <w:tcPr>
            <w:tcW w:w="834" w:type="pct"/>
            <w:shd w:val="clear" w:color="auto" w:fill="FFFFFF"/>
          </w:tcPr>
          <w:p w14:paraId="1AD11B95" w14:textId="474F069A" w:rsidR="00795105" w:rsidRPr="00795105" w:rsidRDefault="00795105" w:rsidP="00795105">
            <w:pPr>
              <w:pStyle w:val="CETBodytext"/>
              <w:ind w:right="-1"/>
              <w:rPr>
                <w:rFonts w:cs="Arial"/>
                <w:szCs w:val="18"/>
                <w:lang w:val="en-GB"/>
              </w:rPr>
            </w:pPr>
            <w:r w:rsidRPr="00795105">
              <w:rPr>
                <w:szCs w:val="18"/>
                <w:lang w:val="en-GB"/>
              </w:rPr>
              <w:t>Pseudo-First Order</w:t>
            </w:r>
          </w:p>
        </w:tc>
        <w:tc>
          <w:tcPr>
            <w:tcW w:w="834" w:type="pct"/>
            <w:shd w:val="clear" w:color="auto" w:fill="FFFFFF"/>
          </w:tcPr>
          <w:p w14:paraId="631BF03A" w14:textId="77777777" w:rsidR="00795105" w:rsidRPr="00795105" w:rsidRDefault="00795105" w:rsidP="00795105">
            <w:pPr>
              <w:pStyle w:val="CETBodytext"/>
              <w:ind w:right="-1"/>
              <w:rPr>
                <w:rFonts w:eastAsia="Calibri" w:cs="Arial"/>
                <w:b/>
                <w:bCs/>
                <w:szCs w:val="18"/>
                <w:lang w:val="en-ZA"/>
              </w:rPr>
            </w:pPr>
            <w:r w:rsidRPr="00E454FB">
              <w:rPr>
                <w:rFonts w:eastAsia="Calibri" w:cs="Arial"/>
                <w:b/>
                <w:bCs/>
                <w:szCs w:val="18"/>
                <w:lang w:val="en-ZA"/>
              </w:rPr>
              <w:t>q</w:t>
            </w:r>
            <w:r w:rsidRPr="00E454FB">
              <w:rPr>
                <w:rFonts w:eastAsia="Calibri" w:cs="Arial"/>
                <w:b/>
                <w:bCs/>
                <w:szCs w:val="18"/>
                <w:vertAlign w:val="subscript"/>
                <w:lang w:val="en-ZA"/>
              </w:rPr>
              <w:t xml:space="preserve">e </w:t>
            </w:r>
            <w:proofErr w:type="spellStart"/>
            <w:r w:rsidRPr="00E454FB">
              <w:rPr>
                <w:rFonts w:eastAsia="Calibri" w:cs="Arial"/>
                <w:b/>
                <w:bCs/>
                <w:szCs w:val="18"/>
                <w:vertAlign w:val="subscript"/>
                <w:lang w:val="en-ZA"/>
              </w:rPr>
              <w:t>cal</w:t>
            </w:r>
            <w:proofErr w:type="spellEnd"/>
            <w:r w:rsidRPr="00E454FB">
              <w:rPr>
                <w:rFonts w:eastAsia="Calibri" w:cs="Arial"/>
                <w:b/>
                <w:bCs/>
                <w:szCs w:val="18"/>
                <w:lang w:val="en-ZA"/>
              </w:rPr>
              <w:t xml:space="preserve"> (mg/g)</w:t>
            </w:r>
          </w:p>
        </w:tc>
        <w:tc>
          <w:tcPr>
            <w:tcW w:w="834" w:type="pct"/>
            <w:shd w:val="clear" w:color="auto" w:fill="FFFFFF"/>
          </w:tcPr>
          <w:p w14:paraId="41DBDDC0" w14:textId="77777777" w:rsidR="00795105" w:rsidRPr="00795105" w:rsidRDefault="00795105" w:rsidP="00795105">
            <w:pPr>
              <w:pStyle w:val="CETBodytext"/>
              <w:ind w:right="-1"/>
              <w:rPr>
                <w:rFonts w:eastAsia="Calibri" w:cs="Arial"/>
                <w:szCs w:val="18"/>
                <w:lang w:val="en-ZA"/>
              </w:rPr>
            </w:pPr>
            <w:r w:rsidRPr="00E454FB">
              <w:rPr>
                <w:rFonts w:eastAsia="Calibri" w:cs="Arial"/>
                <w:szCs w:val="18"/>
                <w:lang w:val="en-ZA"/>
              </w:rPr>
              <w:t>43.321</w:t>
            </w:r>
          </w:p>
        </w:tc>
        <w:tc>
          <w:tcPr>
            <w:tcW w:w="833" w:type="pct"/>
            <w:shd w:val="clear" w:color="auto" w:fill="FFFFFF"/>
          </w:tcPr>
          <w:p w14:paraId="2AD6F22E" w14:textId="77777777" w:rsidR="00795105" w:rsidRPr="00795105" w:rsidRDefault="00795105" w:rsidP="00795105">
            <w:pPr>
              <w:pStyle w:val="CETBodytext"/>
              <w:ind w:right="-1"/>
              <w:rPr>
                <w:rFonts w:eastAsia="Calibri" w:cs="Arial"/>
                <w:szCs w:val="18"/>
                <w:lang w:val="en-ZA"/>
              </w:rPr>
            </w:pPr>
            <w:r w:rsidRPr="00E454FB">
              <w:rPr>
                <w:rFonts w:eastAsia="Calibri" w:cs="Arial"/>
                <w:szCs w:val="18"/>
                <w:lang w:val="en-ZA"/>
              </w:rPr>
              <w:t>57.000</w:t>
            </w:r>
          </w:p>
        </w:tc>
        <w:tc>
          <w:tcPr>
            <w:tcW w:w="833" w:type="pct"/>
            <w:shd w:val="clear" w:color="auto" w:fill="FFFFFF"/>
          </w:tcPr>
          <w:p w14:paraId="1315A9FA" w14:textId="77777777" w:rsidR="00795105" w:rsidRPr="00795105" w:rsidRDefault="00795105" w:rsidP="00795105">
            <w:pPr>
              <w:pStyle w:val="CETBodytext"/>
              <w:ind w:right="-1"/>
              <w:rPr>
                <w:rFonts w:eastAsia="Calibri" w:cs="Arial"/>
                <w:szCs w:val="18"/>
                <w:lang w:val="en-ZA"/>
              </w:rPr>
            </w:pPr>
            <w:r w:rsidRPr="00E454FB">
              <w:rPr>
                <w:rFonts w:eastAsia="Calibri" w:cs="Arial"/>
                <w:szCs w:val="18"/>
                <w:lang w:val="en-ZA"/>
              </w:rPr>
              <w:t>82.000</w:t>
            </w:r>
          </w:p>
        </w:tc>
        <w:tc>
          <w:tcPr>
            <w:tcW w:w="833" w:type="pct"/>
            <w:shd w:val="clear" w:color="auto" w:fill="FFFFFF"/>
          </w:tcPr>
          <w:p w14:paraId="41269870" w14:textId="77777777" w:rsidR="00795105" w:rsidRPr="00795105" w:rsidRDefault="00795105" w:rsidP="00795105">
            <w:pPr>
              <w:pStyle w:val="CETBodytext"/>
              <w:ind w:right="-1"/>
              <w:rPr>
                <w:rFonts w:eastAsia="Calibri" w:cs="Arial"/>
                <w:szCs w:val="18"/>
                <w:lang w:val="en-ZA"/>
              </w:rPr>
            </w:pPr>
            <w:r w:rsidRPr="00E454FB">
              <w:rPr>
                <w:rFonts w:eastAsia="Calibri" w:cs="Arial"/>
                <w:szCs w:val="18"/>
                <w:lang w:val="en-ZA"/>
              </w:rPr>
              <w:t>124.412</w:t>
            </w:r>
          </w:p>
        </w:tc>
      </w:tr>
      <w:tr w:rsidR="00723449" w:rsidRPr="00795105" w14:paraId="0E9DDE7F" w14:textId="77777777" w:rsidTr="00795105">
        <w:tc>
          <w:tcPr>
            <w:tcW w:w="834" w:type="pct"/>
            <w:shd w:val="clear" w:color="auto" w:fill="FFFFFF"/>
          </w:tcPr>
          <w:p w14:paraId="6828A234" w14:textId="77777777" w:rsidR="00723449" w:rsidRPr="00795105" w:rsidRDefault="00723449" w:rsidP="00DC2153">
            <w:pPr>
              <w:pStyle w:val="CETBodytext"/>
              <w:ind w:right="-1"/>
              <w:rPr>
                <w:rFonts w:eastAsia="Calibri" w:cs="Arial"/>
                <w:b/>
                <w:bCs/>
                <w:szCs w:val="18"/>
                <w:lang w:val="en-ZA"/>
              </w:rPr>
            </w:pPr>
          </w:p>
        </w:tc>
        <w:tc>
          <w:tcPr>
            <w:tcW w:w="834" w:type="pct"/>
            <w:shd w:val="clear" w:color="auto" w:fill="FFFFFF"/>
          </w:tcPr>
          <w:p w14:paraId="79E3A0D2" w14:textId="77777777" w:rsidR="00723449" w:rsidRPr="00795105" w:rsidRDefault="00723449" w:rsidP="00DC2153">
            <w:pPr>
              <w:pStyle w:val="CETBodytext"/>
              <w:ind w:right="-1"/>
              <w:rPr>
                <w:rFonts w:eastAsia="Calibri" w:cs="Arial"/>
                <w:b/>
                <w:bCs/>
                <w:szCs w:val="18"/>
                <w:lang w:val="en-ZA"/>
              </w:rPr>
            </w:pPr>
            <w:r w:rsidRPr="00E454FB">
              <w:rPr>
                <w:rFonts w:eastAsia="Calibri" w:cs="Arial"/>
                <w:b/>
                <w:bCs/>
                <w:szCs w:val="18"/>
                <w:lang w:val="en-ZA"/>
              </w:rPr>
              <w:t>k</w:t>
            </w:r>
            <w:r w:rsidRPr="00E454FB">
              <w:rPr>
                <w:rFonts w:eastAsia="Calibri" w:cs="Arial"/>
                <w:b/>
                <w:bCs/>
                <w:szCs w:val="18"/>
                <w:vertAlign w:val="subscript"/>
                <w:lang w:val="en-ZA"/>
              </w:rPr>
              <w:t>1</w:t>
            </w:r>
          </w:p>
        </w:tc>
        <w:tc>
          <w:tcPr>
            <w:tcW w:w="834" w:type="pct"/>
            <w:shd w:val="clear" w:color="auto" w:fill="FFFFFF"/>
          </w:tcPr>
          <w:p w14:paraId="2C9D8E3A" w14:textId="77777777" w:rsidR="00723449" w:rsidRPr="00795105" w:rsidRDefault="00723449" w:rsidP="00DC2153">
            <w:pPr>
              <w:pStyle w:val="CETBodytext"/>
              <w:ind w:right="-1"/>
              <w:rPr>
                <w:rFonts w:eastAsia="Calibri" w:cs="Arial"/>
                <w:szCs w:val="18"/>
                <w:lang w:val="en-ZA"/>
              </w:rPr>
            </w:pPr>
            <w:r w:rsidRPr="00E454FB">
              <w:rPr>
                <w:rFonts w:eastAsia="Calibri" w:cs="Arial"/>
                <w:szCs w:val="18"/>
                <w:lang w:val="en-ZA"/>
              </w:rPr>
              <w:t>1.076 x 10</w:t>
            </w:r>
            <w:r w:rsidRPr="00E454FB">
              <w:rPr>
                <w:rFonts w:eastAsia="Calibri" w:cs="Arial"/>
                <w:szCs w:val="18"/>
                <w:vertAlign w:val="superscript"/>
                <w:lang w:val="en-ZA"/>
              </w:rPr>
              <w:t>-1</w:t>
            </w:r>
          </w:p>
        </w:tc>
        <w:tc>
          <w:tcPr>
            <w:tcW w:w="833" w:type="pct"/>
            <w:shd w:val="clear" w:color="auto" w:fill="FFFFFF"/>
          </w:tcPr>
          <w:p w14:paraId="33661D50" w14:textId="77777777" w:rsidR="00723449" w:rsidRPr="00795105" w:rsidRDefault="00723449" w:rsidP="00DC2153">
            <w:pPr>
              <w:pStyle w:val="CETBodytext"/>
              <w:ind w:right="-1"/>
              <w:rPr>
                <w:rFonts w:eastAsia="Calibri" w:cs="Arial"/>
                <w:szCs w:val="18"/>
                <w:lang w:val="en-ZA"/>
              </w:rPr>
            </w:pPr>
            <w:r w:rsidRPr="00E454FB">
              <w:rPr>
                <w:rFonts w:eastAsia="Calibri" w:cs="Arial"/>
                <w:szCs w:val="18"/>
                <w:lang w:val="en-ZA"/>
              </w:rPr>
              <w:t>104.947</w:t>
            </w:r>
          </w:p>
        </w:tc>
        <w:tc>
          <w:tcPr>
            <w:tcW w:w="833" w:type="pct"/>
            <w:shd w:val="clear" w:color="auto" w:fill="FFFFFF"/>
          </w:tcPr>
          <w:p w14:paraId="6F7F6285" w14:textId="77777777" w:rsidR="00723449" w:rsidRPr="00795105" w:rsidRDefault="00723449" w:rsidP="00DC2153">
            <w:pPr>
              <w:pStyle w:val="CETBodytext"/>
              <w:ind w:right="-1"/>
              <w:rPr>
                <w:rFonts w:eastAsia="Calibri" w:cs="Arial"/>
                <w:szCs w:val="18"/>
                <w:lang w:val="en-ZA"/>
              </w:rPr>
            </w:pPr>
            <w:r w:rsidRPr="00E454FB">
              <w:rPr>
                <w:rFonts w:eastAsia="Calibri" w:cs="Arial"/>
                <w:szCs w:val="18"/>
                <w:lang w:val="en-ZA"/>
              </w:rPr>
              <w:t>4,302 x 10</w:t>
            </w:r>
            <w:r w:rsidRPr="00E454FB">
              <w:rPr>
                <w:rFonts w:eastAsia="Calibri" w:cs="Arial"/>
                <w:szCs w:val="18"/>
                <w:vertAlign w:val="superscript"/>
                <w:lang w:val="en-ZA"/>
              </w:rPr>
              <w:t>-2</w:t>
            </w:r>
          </w:p>
        </w:tc>
        <w:tc>
          <w:tcPr>
            <w:tcW w:w="833" w:type="pct"/>
            <w:shd w:val="clear" w:color="auto" w:fill="FFFFFF"/>
          </w:tcPr>
          <w:p w14:paraId="04F38E11" w14:textId="77777777" w:rsidR="00723449" w:rsidRPr="00795105" w:rsidRDefault="00723449" w:rsidP="00DC2153">
            <w:pPr>
              <w:pStyle w:val="CETBodytext"/>
              <w:ind w:right="-1"/>
              <w:rPr>
                <w:rFonts w:eastAsia="Calibri" w:cs="Arial"/>
                <w:szCs w:val="18"/>
                <w:lang w:val="en-ZA"/>
              </w:rPr>
            </w:pPr>
            <w:r w:rsidRPr="00E454FB">
              <w:rPr>
                <w:rFonts w:eastAsia="Calibri" w:cs="Arial"/>
                <w:szCs w:val="18"/>
                <w:lang w:val="en-ZA"/>
              </w:rPr>
              <w:t>5.779 x 10</w:t>
            </w:r>
            <w:r w:rsidRPr="00E454FB">
              <w:rPr>
                <w:rFonts w:eastAsia="Calibri" w:cs="Arial"/>
                <w:szCs w:val="18"/>
                <w:vertAlign w:val="superscript"/>
                <w:lang w:val="en-ZA"/>
              </w:rPr>
              <w:t>-2</w:t>
            </w:r>
          </w:p>
        </w:tc>
      </w:tr>
      <w:tr w:rsidR="00723449" w:rsidRPr="00795105" w14:paraId="6D8AF207" w14:textId="77777777" w:rsidTr="00795105">
        <w:tc>
          <w:tcPr>
            <w:tcW w:w="834" w:type="pct"/>
            <w:shd w:val="clear" w:color="auto" w:fill="FFFFFF"/>
          </w:tcPr>
          <w:p w14:paraId="596D6A14" w14:textId="77777777" w:rsidR="00723449" w:rsidRPr="00795105" w:rsidRDefault="00723449" w:rsidP="00DC2153">
            <w:pPr>
              <w:pStyle w:val="CETBodytext"/>
              <w:ind w:right="-1"/>
              <w:rPr>
                <w:rFonts w:eastAsia="Calibri" w:cs="Arial"/>
                <w:b/>
                <w:bCs/>
                <w:szCs w:val="18"/>
                <w:lang w:val="en-ZA"/>
              </w:rPr>
            </w:pPr>
          </w:p>
        </w:tc>
        <w:tc>
          <w:tcPr>
            <w:tcW w:w="834" w:type="pct"/>
            <w:shd w:val="clear" w:color="auto" w:fill="FFFFFF"/>
          </w:tcPr>
          <w:p w14:paraId="558B6718" w14:textId="77777777" w:rsidR="00723449" w:rsidRPr="00795105" w:rsidRDefault="00723449" w:rsidP="00DC2153">
            <w:pPr>
              <w:pStyle w:val="CETBodytext"/>
              <w:ind w:right="-1"/>
              <w:rPr>
                <w:rFonts w:eastAsia="Calibri" w:cs="Arial"/>
                <w:b/>
                <w:bCs/>
                <w:szCs w:val="18"/>
                <w:lang w:val="en-ZA"/>
              </w:rPr>
            </w:pPr>
            <w:r w:rsidRPr="00E454FB">
              <w:rPr>
                <w:rFonts w:eastAsia="Calibri" w:cs="Arial"/>
                <w:b/>
                <w:bCs/>
                <w:szCs w:val="18"/>
                <w:lang w:val="en-ZA"/>
              </w:rPr>
              <w:t>R</w:t>
            </w:r>
            <w:r w:rsidRPr="00E454FB">
              <w:rPr>
                <w:rFonts w:eastAsia="Calibri" w:cs="Arial"/>
                <w:b/>
                <w:bCs/>
                <w:szCs w:val="18"/>
                <w:vertAlign w:val="superscript"/>
                <w:lang w:val="en-ZA"/>
              </w:rPr>
              <w:t>2</w:t>
            </w:r>
          </w:p>
        </w:tc>
        <w:tc>
          <w:tcPr>
            <w:tcW w:w="834" w:type="pct"/>
            <w:shd w:val="clear" w:color="auto" w:fill="FFFFFF"/>
          </w:tcPr>
          <w:p w14:paraId="5FFED7C9" w14:textId="77777777" w:rsidR="00723449" w:rsidRPr="00795105" w:rsidRDefault="00723449" w:rsidP="00DC2153">
            <w:pPr>
              <w:pStyle w:val="CETBodytext"/>
              <w:ind w:right="-1"/>
              <w:rPr>
                <w:rFonts w:eastAsia="Calibri" w:cs="Arial"/>
                <w:szCs w:val="18"/>
                <w:lang w:val="en-ZA"/>
              </w:rPr>
            </w:pPr>
            <w:r w:rsidRPr="00E454FB">
              <w:rPr>
                <w:rFonts w:cs="Arial"/>
                <w:szCs w:val="18"/>
                <w:lang w:val="en-ZA" w:eastAsia="en-ZA"/>
              </w:rPr>
              <w:t>0.859</w:t>
            </w:r>
          </w:p>
        </w:tc>
        <w:tc>
          <w:tcPr>
            <w:tcW w:w="833" w:type="pct"/>
            <w:shd w:val="clear" w:color="auto" w:fill="FFFFFF"/>
          </w:tcPr>
          <w:p w14:paraId="4EA93294" w14:textId="77777777" w:rsidR="00723449" w:rsidRPr="00795105" w:rsidRDefault="00723449" w:rsidP="00DC2153">
            <w:pPr>
              <w:pStyle w:val="CETBodytext"/>
              <w:ind w:right="-1"/>
              <w:rPr>
                <w:rFonts w:eastAsia="Calibri" w:cs="Arial"/>
                <w:szCs w:val="18"/>
                <w:lang w:val="en-ZA"/>
              </w:rPr>
            </w:pPr>
            <w:r w:rsidRPr="00E454FB">
              <w:rPr>
                <w:rFonts w:cs="Arial"/>
                <w:szCs w:val="18"/>
                <w:lang w:val="en-ZA" w:eastAsia="en-ZA"/>
              </w:rPr>
              <w:t>0.804</w:t>
            </w:r>
          </w:p>
        </w:tc>
        <w:tc>
          <w:tcPr>
            <w:tcW w:w="833" w:type="pct"/>
            <w:shd w:val="clear" w:color="auto" w:fill="FFFFFF"/>
          </w:tcPr>
          <w:p w14:paraId="4C063B92" w14:textId="77777777" w:rsidR="00723449" w:rsidRPr="00795105" w:rsidRDefault="00723449" w:rsidP="00DC2153">
            <w:pPr>
              <w:pStyle w:val="CETBodytext"/>
              <w:ind w:right="-1"/>
              <w:rPr>
                <w:rFonts w:eastAsia="Calibri" w:cs="Arial"/>
                <w:szCs w:val="18"/>
                <w:lang w:val="en-ZA"/>
              </w:rPr>
            </w:pPr>
            <w:r w:rsidRPr="00E454FB">
              <w:rPr>
                <w:rFonts w:cs="Arial"/>
                <w:szCs w:val="18"/>
                <w:lang w:val="en-ZA" w:eastAsia="en-ZA"/>
              </w:rPr>
              <w:t>0.822</w:t>
            </w:r>
          </w:p>
        </w:tc>
        <w:tc>
          <w:tcPr>
            <w:tcW w:w="833" w:type="pct"/>
            <w:shd w:val="clear" w:color="auto" w:fill="FFFFFF"/>
          </w:tcPr>
          <w:p w14:paraId="262827C8" w14:textId="77777777" w:rsidR="00723449" w:rsidRPr="00795105" w:rsidRDefault="00723449" w:rsidP="00DC2153">
            <w:pPr>
              <w:pStyle w:val="CETBodytext"/>
              <w:ind w:right="-1"/>
              <w:rPr>
                <w:rFonts w:eastAsia="Calibri" w:cs="Arial"/>
                <w:szCs w:val="18"/>
                <w:lang w:val="en-ZA"/>
              </w:rPr>
            </w:pPr>
            <w:r w:rsidRPr="00E454FB">
              <w:rPr>
                <w:rFonts w:cs="Arial"/>
                <w:szCs w:val="18"/>
                <w:lang w:val="en-ZA" w:eastAsia="en-ZA"/>
              </w:rPr>
              <w:t>0.964</w:t>
            </w:r>
          </w:p>
        </w:tc>
      </w:tr>
      <w:tr w:rsidR="00723449" w:rsidRPr="00795105" w14:paraId="2B5F7D63" w14:textId="77777777" w:rsidTr="00795105">
        <w:tc>
          <w:tcPr>
            <w:tcW w:w="834" w:type="pct"/>
            <w:shd w:val="clear" w:color="auto" w:fill="FFFFFF"/>
          </w:tcPr>
          <w:p w14:paraId="0673F699" w14:textId="7A50665D" w:rsidR="00723449" w:rsidRPr="00795105" w:rsidRDefault="00795105" w:rsidP="00DC2153">
            <w:pPr>
              <w:pStyle w:val="CETBodytext"/>
              <w:ind w:right="-1"/>
              <w:rPr>
                <w:rFonts w:eastAsia="Calibri" w:cs="Arial"/>
                <w:b/>
                <w:bCs/>
                <w:szCs w:val="18"/>
                <w:lang w:val="en-ZA"/>
              </w:rPr>
            </w:pPr>
            <w:r w:rsidRPr="00795105">
              <w:rPr>
                <w:szCs w:val="18"/>
                <w:lang w:val="en-GB"/>
              </w:rPr>
              <w:t>Pseudo-Second Order</w:t>
            </w:r>
          </w:p>
        </w:tc>
        <w:tc>
          <w:tcPr>
            <w:tcW w:w="834" w:type="pct"/>
            <w:shd w:val="clear" w:color="auto" w:fill="FFFFFF"/>
          </w:tcPr>
          <w:p w14:paraId="29C80F65" w14:textId="77777777" w:rsidR="00723449" w:rsidRPr="00795105" w:rsidRDefault="00723449" w:rsidP="00DC2153">
            <w:pPr>
              <w:pStyle w:val="CETBodytext"/>
              <w:ind w:right="-1"/>
              <w:rPr>
                <w:rFonts w:eastAsia="Calibri" w:cs="Arial"/>
                <w:b/>
                <w:bCs/>
                <w:szCs w:val="18"/>
                <w:lang w:val="en-ZA"/>
              </w:rPr>
            </w:pPr>
            <w:r w:rsidRPr="00E454FB">
              <w:rPr>
                <w:rFonts w:eastAsia="Calibri" w:cs="Arial"/>
                <w:b/>
                <w:bCs/>
                <w:szCs w:val="18"/>
                <w:lang w:val="en-ZA"/>
              </w:rPr>
              <w:t>q</w:t>
            </w:r>
            <w:r w:rsidRPr="00E454FB">
              <w:rPr>
                <w:rFonts w:eastAsia="Calibri" w:cs="Arial"/>
                <w:b/>
                <w:bCs/>
                <w:szCs w:val="18"/>
                <w:vertAlign w:val="subscript"/>
                <w:lang w:val="en-ZA"/>
              </w:rPr>
              <w:t xml:space="preserve">e </w:t>
            </w:r>
            <w:proofErr w:type="spellStart"/>
            <w:r w:rsidRPr="00E454FB">
              <w:rPr>
                <w:rFonts w:eastAsia="Calibri" w:cs="Arial"/>
                <w:b/>
                <w:bCs/>
                <w:szCs w:val="18"/>
                <w:vertAlign w:val="subscript"/>
                <w:lang w:val="en-ZA"/>
              </w:rPr>
              <w:t>cal</w:t>
            </w:r>
            <w:proofErr w:type="spellEnd"/>
            <w:r w:rsidRPr="00E454FB">
              <w:rPr>
                <w:rFonts w:eastAsia="Calibri" w:cs="Arial"/>
                <w:b/>
                <w:bCs/>
                <w:szCs w:val="18"/>
                <w:lang w:val="en-ZA"/>
              </w:rPr>
              <w:t xml:space="preserve"> (mg/g)</w:t>
            </w:r>
          </w:p>
        </w:tc>
        <w:tc>
          <w:tcPr>
            <w:tcW w:w="834" w:type="pct"/>
            <w:shd w:val="clear" w:color="auto" w:fill="FFFFFF"/>
          </w:tcPr>
          <w:p w14:paraId="7B0357ED" w14:textId="77777777" w:rsidR="00723449" w:rsidRPr="00795105" w:rsidRDefault="00723449" w:rsidP="00DC2153">
            <w:pPr>
              <w:pStyle w:val="CETBodytext"/>
              <w:ind w:right="-1"/>
              <w:rPr>
                <w:rFonts w:cs="Arial"/>
                <w:szCs w:val="18"/>
                <w:lang w:val="en-ZA" w:eastAsia="en-ZA"/>
              </w:rPr>
            </w:pPr>
            <w:r w:rsidRPr="00E454FB">
              <w:rPr>
                <w:rFonts w:cs="Arial"/>
                <w:szCs w:val="18"/>
                <w:lang w:val="en-ZA" w:eastAsia="en-ZA"/>
              </w:rPr>
              <w:t>42.000</w:t>
            </w:r>
          </w:p>
        </w:tc>
        <w:tc>
          <w:tcPr>
            <w:tcW w:w="833" w:type="pct"/>
            <w:shd w:val="clear" w:color="auto" w:fill="FFFFFF"/>
          </w:tcPr>
          <w:p w14:paraId="4A510ED1" w14:textId="77777777" w:rsidR="00723449" w:rsidRPr="00795105" w:rsidRDefault="00723449" w:rsidP="00DC2153">
            <w:pPr>
              <w:pStyle w:val="CETBodytext"/>
              <w:ind w:right="-1"/>
              <w:rPr>
                <w:rFonts w:cs="Arial"/>
                <w:szCs w:val="18"/>
                <w:lang w:val="en-ZA" w:eastAsia="en-ZA"/>
              </w:rPr>
            </w:pPr>
            <w:r w:rsidRPr="00E454FB">
              <w:rPr>
                <w:rFonts w:cs="Arial"/>
                <w:szCs w:val="18"/>
                <w:lang w:val="en-ZA" w:eastAsia="en-ZA"/>
              </w:rPr>
              <w:t>63.000</w:t>
            </w:r>
          </w:p>
        </w:tc>
        <w:tc>
          <w:tcPr>
            <w:tcW w:w="833" w:type="pct"/>
            <w:shd w:val="clear" w:color="auto" w:fill="FFFFFF"/>
          </w:tcPr>
          <w:p w14:paraId="22B23B2C" w14:textId="77777777" w:rsidR="00723449" w:rsidRPr="00795105" w:rsidRDefault="00723449" w:rsidP="00DC2153">
            <w:pPr>
              <w:pStyle w:val="CETBodytext"/>
              <w:ind w:right="-1"/>
              <w:rPr>
                <w:rFonts w:cs="Arial"/>
                <w:szCs w:val="18"/>
                <w:lang w:val="en-ZA" w:eastAsia="en-ZA"/>
              </w:rPr>
            </w:pPr>
            <w:r w:rsidRPr="00E454FB">
              <w:rPr>
                <w:rFonts w:cs="Arial"/>
                <w:szCs w:val="18"/>
                <w:lang w:val="en-ZA" w:eastAsia="en-ZA"/>
              </w:rPr>
              <w:t>75.000</w:t>
            </w:r>
          </w:p>
        </w:tc>
        <w:tc>
          <w:tcPr>
            <w:tcW w:w="833" w:type="pct"/>
            <w:shd w:val="clear" w:color="auto" w:fill="FFFFFF"/>
          </w:tcPr>
          <w:p w14:paraId="2A94D942" w14:textId="77777777" w:rsidR="00723449" w:rsidRPr="00795105" w:rsidRDefault="00723449" w:rsidP="00DC2153">
            <w:pPr>
              <w:pStyle w:val="CETBodytext"/>
              <w:ind w:right="-1"/>
              <w:rPr>
                <w:rFonts w:cs="Arial"/>
                <w:szCs w:val="18"/>
                <w:lang w:val="en-ZA" w:eastAsia="en-ZA"/>
              </w:rPr>
            </w:pPr>
            <w:r w:rsidRPr="00E454FB">
              <w:rPr>
                <w:rFonts w:cs="Arial"/>
                <w:szCs w:val="18"/>
                <w:lang w:val="en-ZA" w:eastAsia="en-ZA"/>
              </w:rPr>
              <w:t>126.894</w:t>
            </w:r>
          </w:p>
        </w:tc>
      </w:tr>
      <w:tr w:rsidR="00723449" w:rsidRPr="00795105" w14:paraId="5B5BD14E" w14:textId="77777777" w:rsidTr="00795105">
        <w:tc>
          <w:tcPr>
            <w:tcW w:w="834" w:type="pct"/>
            <w:shd w:val="clear" w:color="auto" w:fill="FFFFFF"/>
          </w:tcPr>
          <w:p w14:paraId="095A1297" w14:textId="77777777" w:rsidR="00723449" w:rsidRPr="00795105" w:rsidRDefault="00723449" w:rsidP="00DC2153">
            <w:pPr>
              <w:pStyle w:val="CETBodytext"/>
              <w:ind w:right="-1"/>
              <w:rPr>
                <w:rFonts w:eastAsia="Calibri" w:cs="Arial"/>
                <w:b/>
                <w:bCs/>
                <w:szCs w:val="18"/>
                <w:lang w:val="en-ZA"/>
              </w:rPr>
            </w:pPr>
          </w:p>
        </w:tc>
        <w:tc>
          <w:tcPr>
            <w:tcW w:w="834" w:type="pct"/>
            <w:shd w:val="clear" w:color="auto" w:fill="FFFFFF"/>
          </w:tcPr>
          <w:p w14:paraId="5F87D33D" w14:textId="77777777" w:rsidR="00723449" w:rsidRPr="00795105" w:rsidRDefault="00723449" w:rsidP="00DC2153">
            <w:pPr>
              <w:pStyle w:val="CETBodytext"/>
              <w:ind w:right="-1"/>
              <w:rPr>
                <w:rFonts w:eastAsia="Calibri" w:cs="Arial"/>
                <w:b/>
                <w:bCs/>
                <w:szCs w:val="18"/>
                <w:lang w:val="en-ZA"/>
              </w:rPr>
            </w:pPr>
            <w:r w:rsidRPr="00E454FB">
              <w:rPr>
                <w:rFonts w:eastAsia="Calibri" w:cs="Arial"/>
                <w:b/>
                <w:bCs/>
                <w:szCs w:val="18"/>
                <w:lang w:val="en-ZA"/>
              </w:rPr>
              <w:t>k</w:t>
            </w:r>
            <w:r w:rsidRPr="00E454FB">
              <w:rPr>
                <w:rFonts w:eastAsia="Calibri" w:cs="Arial"/>
                <w:b/>
                <w:bCs/>
                <w:szCs w:val="18"/>
                <w:vertAlign w:val="subscript"/>
                <w:lang w:val="en-ZA"/>
              </w:rPr>
              <w:t>2</w:t>
            </w:r>
          </w:p>
        </w:tc>
        <w:tc>
          <w:tcPr>
            <w:tcW w:w="834" w:type="pct"/>
            <w:shd w:val="clear" w:color="auto" w:fill="FFFFFF"/>
          </w:tcPr>
          <w:p w14:paraId="78BFC7B0" w14:textId="77777777" w:rsidR="00723449" w:rsidRPr="00795105" w:rsidRDefault="00723449" w:rsidP="00DC2153">
            <w:pPr>
              <w:pStyle w:val="CETBodytext"/>
              <w:ind w:right="-1"/>
              <w:rPr>
                <w:rFonts w:cs="Arial"/>
                <w:szCs w:val="18"/>
                <w:lang w:val="en-ZA" w:eastAsia="en-ZA"/>
              </w:rPr>
            </w:pPr>
            <w:r w:rsidRPr="00E454FB">
              <w:rPr>
                <w:rFonts w:cs="Arial"/>
                <w:szCs w:val="18"/>
                <w:lang w:val="en-ZA" w:eastAsia="en-ZA"/>
              </w:rPr>
              <w:t>7.343 x 10</w:t>
            </w:r>
            <w:r w:rsidRPr="00E454FB">
              <w:rPr>
                <w:rFonts w:cs="Arial"/>
                <w:szCs w:val="18"/>
                <w:vertAlign w:val="superscript"/>
                <w:lang w:val="en-ZA" w:eastAsia="en-ZA"/>
              </w:rPr>
              <w:t>-5</w:t>
            </w:r>
          </w:p>
        </w:tc>
        <w:tc>
          <w:tcPr>
            <w:tcW w:w="833" w:type="pct"/>
            <w:shd w:val="clear" w:color="auto" w:fill="FFFFFF"/>
          </w:tcPr>
          <w:p w14:paraId="705CA6CB" w14:textId="77777777" w:rsidR="00723449" w:rsidRPr="00795105" w:rsidRDefault="00723449" w:rsidP="00DC2153">
            <w:pPr>
              <w:pStyle w:val="CETBodytext"/>
              <w:ind w:right="-1"/>
              <w:rPr>
                <w:rFonts w:cs="Arial"/>
                <w:szCs w:val="18"/>
                <w:lang w:val="en-ZA" w:eastAsia="en-ZA"/>
              </w:rPr>
            </w:pPr>
            <w:r w:rsidRPr="00E454FB">
              <w:rPr>
                <w:rFonts w:cs="Arial"/>
                <w:szCs w:val="18"/>
                <w:lang w:val="en-ZA" w:eastAsia="en-ZA"/>
              </w:rPr>
              <w:t>2.791 x 10</w:t>
            </w:r>
            <w:r w:rsidRPr="00E454FB">
              <w:rPr>
                <w:rFonts w:cs="Arial"/>
                <w:szCs w:val="18"/>
                <w:vertAlign w:val="superscript"/>
                <w:lang w:val="en-ZA" w:eastAsia="en-ZA"/>
              </w:rPr>
              <w:t>-5</w:t>
            </w:r>
          </w:p>
        </w:tc>
        <w:tc>
          <w:tcPr>
            <w:tcW w:w="833" w:type="pct"/>
            <w:shd w:val="clear" w:color="auto" w:fill="FFFFFF"/>
          </w:tcPr>
          <w:p w14:paraId="2D779D54" w14:textId="77777777" w:rsidR="00723449" w:rsidRPr="00795105" w:rsidRDefault="00723449" w:rsidP="00DC2153">
            <w:pPr>
              <w:pStyle w:val="CETBodytext"/>
              <w:ind w:right="-1"/>
              <w:rPr>
                <w:rFonts w:cs="Arial"/>
                <w:szCs w:val="18"/>
                <w:lang w:val="en-ZA" w:eastAsia="en-ZA"/>
              </w:rPr>
            </w:pPr>
            <w:r w:rsidRPr="00E454FB">
              <w:rPr>
                <w:rFonts w:cs="Arial"/>
                <w:szCs w:val="18"/>
                <w:lang w:val="en-ZA" w:eastAsia="en-ZA"/>
              </w:rPr>
              <w:t>3.463 x 10</w:t>
            </w:r>
            <w:r w:rsidRPr="00E454FB">
              <w:rPr>
                <w:rFonts w:cs="Arial"/>
                <w:szCs w:val="18"/>
                <w:vertAlign w:val="superscript"/>
                <w:lang w:val="en-ZA" w:eastAsia="en-ZA"/>
              </w:rPr>
              <w:t>-5</w:t>
            </w:r>
          </w:p>
        </w:tc>
        <w:tc>
          <w:tcPr>
            <w:tcW w:w="833" w:type="pct"/>
            <w:shd w:val="clear" w:color="auto" w:fill="FFFFFF"/>
          </w:tcPr>
          <w:p w14:paraId="60DB626D" w14:textId="77777777" w:rsidR="00723449" w:rsidRPr="00795105" w:rsidRDefault="00723449" w:rsidP="00DC2153">
            <w:pPr>
              <w:pStyle w:val="CETBodytext"/>
              <w:ind w:right="-1"/>
              <w:rPr>
                <w:rFonts w:cs="Arial"/>
                <w:szCs w:val="18"/>
                <w:lang w:val="en-ZA" w:eastAsia="en-ZA"/>
              </w:rPr>
            </w:pPr>
            <w:r w:rsidRPr="00E454FB">
              <w:rPr>
                <w:rFonts w:cs="Arial"/>
                <w:szCs w:val="18"/>
                <w:lang w:val="en-ZA" w:eastAsia="en-ZA"/>
              </w:rPr>
              <w:t>4.282 x 10</w:t>
            </w:r>
            <w:r w:rsidRPr="00E454FB">
              <w:rPr>
                <w:rFonts w:cs="Arial"/>
                <w:szCs w:val="18"/>
                <w:vertAlign w:val="superscript"/>
                <w:lang w:val="en-ZA" w:eastAsia="en-ZA"/>
              </w:rPr>
              <w:t>-5</w:t>
            </w:r>
          </w:p>
        </w:tc>
      </w:tr>
    </w:tbl>
    <w:p w14:paraId="7221584A" w14:textId="77777777" w:rsidR="00F361FB" w:rsidRDefault="00F361FB" w:rsidP="00E454FB">
      <w:pPr>
        <w:tabs>
          <w:tab w:val="clear" w:pos="7100"/>
        </w:tabs>
        <w:spacing w:line="276" w:lineRule="auto"/>
        <w:rPr>
          <w:rFonts w:eastAsia="Calibri" w:cs="Arial"/>
          <w:szCs w:val="18"/>
          <w:lang w:val="en-ZA"/>
        </w:rPr>
      </w:pPr>
    </w:p>
    <w:p w14:paraId="3E90F819" w14:textId="2D27FCFE" w:rsidR="00E454FB" w:rsidRPr="00E454FB" w:rsidRDefault="00E454FB" w:rsidP="00E454FB">
      <w:pPr>
        <w:tabs>
          <w:tab w:val="clear" w:pos="7100"/>
        </w:tabs>
        <w:spacing w:line="276" w:lineRule="auto"/>
        <w:rPr>
          <w:rFonts w:eastAsia="Calibri" w:cs="Arial"/>
          <w:szCs w:val="18"/>
          <w:lang w:val="en-ZA"/>
        </w:rPr>
      </w:pPr>
      <w:r w:rsidRPr="00E454FB">
        <w:rPr>
          <w:rFonts w:eastAsia="Calibri" w:cs="Arial"/>
          <w:szCs w:val="18"/>
          <w:lang w:val="en-ZA"/>
        </w:rPr>
        <w:t xml:space="preserve">Graphical representations of the non-linear pseudo-second-order model for the adsorption kinetics of Pd (II) onto P41C; at initial metal concentrations of 10mg/g, 20mg/g, 30mg/g and 50mg/g; biosorbent dosage of 0.1g, pH 3 and room temperature are indicated in figure 3.  </w:t>
      </w:r>
    </w:p>
    <w:p w14:paraId="5A8A9B57" w14:textId="77777777" w:rsidR="00E454FB" w:rsidRPr="00E454FB" w:rsidRDefault="00E454FB" w:rsidP="00E454FB">
      <w:pPr>
        <w:tabs>
          <w:tab w:val="clear" w:pos="7100"/>
        </w:tabs>
        <w:spacing w:after="200" w:line="276" w:lineRule="auto"/>
        <w:jc w:val="center"/>
        <w:rPr>
          <w:rFonts w:eastAsia="Calibri" w:cs="Arial"/>
          <w:szCs w:val="18"/>
          <w:lang w:val="en-US"/>
        </w:rPr>
      </w:pPr>
      <w:r w:rsidRPr="00E454FB">
        <w:rPr>
          <w:rFonts w:ascii="Calibri" w:eastAsia="Calibri" w:hAnsi="Calibri"/>
          <w:noProof/>
          <w:sz w:val="22"/>
          <w:szCs w:val="22"/>
          <w:lang w:val="en-US"/>
        </w:rPr>
        <w:drawing>
          <wp:inline distT="0" distB="0" distL="0" distR="0" wp14:anchorId="486DAE16" wp14:editId="2CDB049E">
            <wp:extent cx="5971619" cy="3000375"/>
            <wp:effectExtent l="19050" t="19050" r="10160" b="9525"/>
            <wp:docPr id="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999072" cy="3014169"/>
                    </a:xfrm>
                    <a:prstGeom prst="rect">
                      <a:avLst/>
                    </a:prstGeom>
                    <a:noFill/>
                    <a:ln w="3175" cmpd="sng">
                      <a:solidFill>
                        <a:srgbClr val="000000"/>
                      </a:solidFill>
                      <a:miter lim="800000"/>
                      <a:headEnd/>
                      <a:tailEnd/>
                    </a:ln>
                    <a:effectLst/>
                  </pic:spPr>
                </pic:pic>
              </a:graphicData>
            </a:graphic>
          </wp:inline>
        </w:drawing>
      </w:r>
    </w:p>
    <w:p w14:paraId="675ECA0C" w14:textId="26A0E327" w:rsidR="00E04277" w:rsidRPr="00E454FB" w:rsidRDefault="00E454FB" w:rsidP="00E04277">
      <w:pPr>
        <w:tabs>
          <w:tab w:val="clear" w:pos="7100"/>
        </w:tabs>
        <w:spacing w:line="276" w:lineRule="auto"/>
        <w:rPr>
          <w:rFonts w:eastAsia="Calibri" w:cs="Arial"/>
          <w:szCs w:val="18"/>
          <w:lang w:val="en-ZA"/>
        </w:rPr>
      </w:pPr>
      <w:r w:rsidRPr="00E454FB">
        <w:rPr>
          <w:rFonts w:eastAsia="Calibri" w:cs="Arial"/>
          <w:b/>
          <w:bCs/>
          <w:szCs w:val="18"/>
          <w:lang w:val="en-ZA"/>
        </w:rPr>
        <w:t>Figure 3:</w:t>
      </w:r>
      <w:r w:rsidRPr="00E454FB">
        <w:rPr>
          <w:rFonts w:eastAsia="Calibri" w:cs="Arial"/>
          <w:szCs w:val="18"/>
          <w:lang w:val="en-ZA"/>
        </w:rPr>
        <w:t xml:space="preserve"> Non-linear representations of the Pseudo-second-order kinetics for the removal of Pd</w:t>
      </w:r>
      <w:r w:rsidR="00962379">
        <w:rPr>
          <w:rFonts w:eastAsia="Calibri" w:cs="Arial"/>
          <w:szCs w:val="18"/>
          <w:lang w:val="en-ZA"/>
        </w:rPr>
        <w:t xml:space="preserve"> </w:t>
      </w:r>
      <w:r w:rsidRPr="00E454FB">
        <w:rPr>
          <w:rFonts w:eastAsia="Calibri" w:cs="Arial"/>
          <w:szCs w:val="18"/>
          <w:lang w:val="en-ZA"/>
        </w:rPr>
        <w:t>(II) by P41C at initial P</w:t>
      </w:r>
      <w:r w:rsidR="00962379">
        <w:rPr>
          <w:rFonts w:eastAsia="Calibri" w:cs="Arial"/>
          <w:szCs w:val="18"/>
          <w:lang w:val="en-ZA"/>
        </w:rPr>
        <w:t xml:space="preserve">d </w:t>
      </w:r>
      <w:r w:rsidRPr="00E454FB">
        <w:rPr>
          <w:rFonts w:eastAsia="Calibri" w:cs="Arial"/>
          <w:szCs w:val="18"/>
          <w:lang w:val="en-ZA"/>
        </w:rPr>
        <w:t>(</w:t>
      </w:r>
      <w:r w:rsidR="00962379">
        <w:rPr>
          <w:rFonts w:eastAsia="Calibri" w:cs="Arial"/>
          <w:szCs w:val="18"/>
          <w:lang w:val="en-ZA"/>
        </w:rPr>
        <w:t>II</w:t>
      </w:r>
      <w:r w:rsidRPr="00E454FB">
        <w:rPr>
          <w:rFonts w:eastAsia="Calibri" w:cs="Arial"/>
          <w:szCs w:val="18"/>
          <w:lang w:val="en-ZA"/>
        </w:rPr>
        <w:t>) concentrations of 10 mg/l, 20mg/l, 30 mg/l and 50 mg/</w:t>
      </w:r>
      <w:r w:rsidR="00E04277">
        <w:rPr>
          <w:rFonts w:eastAsia="Calibri" w:cs="Arial"/>
          <w:szCs w:val="18"/>
          <w:lang w:val="en-ZA"/>
        </w:rPr>
        <w:t xml:space="preserve">; </w:t>
      </w:r>
      <w:r w:rsidR="00E04277" w:rsidRPr="00E454FB">
        <w:rPr>
          <w:rFonts w:eastAsia="Calibri" w:cs="Arial"/>
          <w:szCs w:val="18"/>
          <w:lang w:val="en-ZA"/>
        </w:rPr>
        <w:t xml:space="preserve">biosorbent dosage of 0.1g, pH 3 and room temperature.  </w:t>
      </w:r>
    </w:p>
    <w:p w14:paraId="693C7ED6" w14:textId="77777777" w:rsidR="009644A8" w:rsidRDefault="009644A8" w:rsidP="00E04277">
      <w:pPr>
        <w:pStyle w:val="NoSpacing"/>
        <w:rPr>
          <w:rFonts w:eastAsia="Calibri"/>
          <w:lang w:val="en-ZA"/>
        </w:rPr>
      </w:pPr>
    </w:p>
    <w:p w14:paraId="430BCA6F" w14:textId="5A8F2DE7" w:rsidR="00E454FB" w:rsidRDefault="00E454FB" w:rsidP="00962379">
      <w:pPr>
        <w:tabs>
          <w:tab w:val="clear" w:pos="7100"/>
        </w:tabs>
        <w:spacing w:line="276" w:lineRule="auto"/>
        <w:rPr>
          <w:rFonts w:eastAsia="Calibri" w:cs="Arial"/>
          <w:szCs w:val="18"/>
          <w:lang w:val="en-ZA"/>
        </w:rPr>
      </w:pPr>
      <w:r w:rsidRPr="00E454FB">
        <w:rPr>
          <w:rFonts w:eastAsia="Calibri" w:cs="Arial"/>
          <w:szCs w:val="18"/>
          <w:lang w:val="en-ZA"/>
        </w:rPr>
        <w:t xml:space="preserve">The pseudo-second-order model was found to explain the adsorption kinetics of </w:t>
      </w:r>
      <w:r w:rsidR="00962379">
        <w:rPr>
          <w:rFonts w:eastAsia="Calibri" w:cs="Arial"/>
          <w:szCs w:val="18"/>
          <w:lang w:val="en-ZA"/>
        </w:rPr>
        <w:t>Pd (II)</w:t>
      </w:r>
      <w:r w:rsidRPr="00E454FB">
        <w:rPr>
          <w:rFonts w:eastAsia="Calibri" w:cs="Arial"/>
          <w:szCs w:val="18"/>
          <w:lang w:val="en-ZA"/>
        </w:rPr>
        <w:t xml:space="preserve"> onto P41C most effectively as indicated by the coefficient of correlation R</w:t>
      </w:r>
      <w:r w:rsidRPr="00E454FB">
        <w:rPr>
          <w:rFonts w:eastAsia="Calibri" w:cs="Arial"/>
          <w:szCs w:val="18"/>
          <w:vertAlign w:val="superscript"/>
          <w:lang w:val="en-ZA"/>
        </w:rPr>
        <w:t>2</w:t>
      </w:r>
      <w:r w:rsidRPr="00E454FB">
        <w:rPr>
          <w:rFonts w:eastAsia="Calibri" w:cs="Arial"/>
          <w:szCs w:val="18"/>
          <w:lang w:val="en-ZA"/>
        </w:rPr>
        <w:t xml:space="preserve"> value in table 2.  According to literature the rate-limiting step of the  pseudo-second-order model is </w:t>
      </w:r>
      <w:bookmarkStart w:id="7" w:name="_Hlk127520338"/>
      <w:r w:rsidRPr="00E454FB">
        <w:rPr>
          <w:rFonts w:eastAsia="Calibri" w:cs="Arial"/>
          <w:szCs w:val="18"/>
          <w:lang w:val="en-ZA"/>
        </w:rPr>
        <w:t xml:space="preserve">the surface adsorption that involves chemisorption, where the removal from a solution is due to physicochemical interactions between the two phases </w:t>
      </w:r>
      <w:bookmarkEnd w:id="7"/>
      <w:r w:rsidRPr="00E454FB">
        <w:rPr>
          <w:rFonts w:eastAsia="Calibri" w:cs="Arial"/>
          <w:szCs w:val="18"/>
          <w:lang w:val="en-ZA"/>
        </w:rPr>
        <w:t xml:space="preserve">(Wang </w:t>
      </w:r>
      <w:r w:rsidRPr="00E454FB">
        <w:rPr>
          <w:rFonts w:eastAsia="Calibri" w:cs="Arial"/>
          <w:i/>
          <w:iCs/>
          <w:szCs w:val="18"/>
          <w:lang w:val="en-ZA"/>
        </w:rPr>
        <w:t>et al</w:t>
      </w:r>
      <w:r w:rsidRPr="00E454FB">
        <w:rPr>
          <w:rFonts w:eastAsia="Calibri" w:cs="Arial"/>
          <w:szCs w:val="18"/>
          <w:lang w:val="en-ZA"/>
        </w:rPr>
        <w:t>., 2007); therefore this applies to the biosorption of Pd</w:t>
      </w:r>
      <w:r w:rsidR="00962379">
        <w:rPr>
          <w:rFonts w:eastAsia="Calibri" w:cs="Arial"/>
          <w:szCs w:val="18"/>
          <w:lang w:val="en-ZA"/>
        </w:rPr>
        <w:t xml:space="preserve"> </w:t>
      </w:r>
      <w:r w:rsidRPr="00E454FB">
        <w:rPr>
          <w:rFonts w:eastAsia="Calibri" w:cs="Arial"/>
          <w:szCs w:val="18"/>
          <w:lang w:val="en-ZA"/>
        </w:rPr>
        <w:t>(II) onto P41C.  It is worth noting that the q</w:t>
      </w:r>
      <w:r w:rsidRPr="00E454FB">
        <w:rPr>
          <w:rFonts w:eastAsia="Calibri" w:cs="Arial"/>
          <w:szCs w:val="18"/>
          <w:vertAlign w:val="subscript"/>
          <w:lang w:val="en-ZA"/>
        </w:rPr>
        <w:t xml:space="preserve">e </w:t>
      </w:r>
      <w:proofErr w:type="spellStart"/>
      <w:r w:rsidRPr="00E454FB">
        <w:rPr>
          <w:rFonts w:eastAsia="Calibri" w:cs="Arial"/>
          <w:szCs w:val="18"/>
          <w:vertAlign w:val="subscript"/>
          <w:lang w:val="en-ZA"/>
        </w:rPr>
        <w:t>cal</w:t>
      </w:r>
      <w:proofErr w:type="spellEnd"/>
      <w:r w:rsidRPr="00E454FB">
        <w:rPr>
          <w:rFonts w:eastAsia="Calibri" w:cs="Arial"/>
          <w:szCs w:val="18"/>
          <w:lang w:val="en-ZA"/>
        </w:rPr>
        <w:t xml:space="preserve">  values were very close to the experimental values for </w:t>
      </w:r>
      <w:r w:rsidR="00962379">
        <w:rPr>
          <w:rFonts w:eastAsia="Calibri" w:cs="Arial"/>
          <w:szCs w:val="18"/>
          <w:lang w:val="en-ZA"/>
        </w:rPr>
        <w:t>Pd (II)</w:t>
      </w:r>
      <w:r w:rsidRPr="00E454FB">
        <w:rPr>
          <w:rFonts w:eastAsia="Calibri" w:cs="Arial"/>
          <w:szCs w:val="18"/>
          <w:lang w:val="en-ZA"/>
        </w:rPr>
        <w:t xml:space="preserve">; the highest deviation was 6% across all the initial metal concentrations of 10mg/g, 20mg/g, 30mg/g and 50mg/g as indicated in table 2.  </w:t>
      </w:r>
    </w:p>
    <w:p w14:paraId="41E0E6DC" w14:textId="27F4D17D" w:rsidR="00F93829" w:rsidRDefault="00F93829" w:rsidP="00962379">
      <w:pPr>
        <w:tabs>
          <w:tab w:val="clear" w:pos="7100"/>
        </w:tabs>
        <w:spacing w:line="276" w:lineRule="auto"/>
        <w:rPr>
          <w:rFonts w:eastAsia="Calibri" w:cs="Arial"/>
          <w:szCs w:val="18"/>
          <w:lang w:val="en-ZA"/>
        </w:rPr>
      </w:pPr>
    </w:p>
    <w:p w14:paraId="7615609A" w14:textId="77777777" w:rsidR="00F361FB" w:rsidRPr="00962379" w:rsidRDefault="00F361FB" w:rsidP="00962379">
      <w:pPr>
        <w:tabs>
          <w:tab w:val="clear" w:pos="7100"/>
        </w:tabs>
        <w:spacing w:line="276" w:lineRule="auto"/>
        <w:rPr>
          <w:rFonts w:eastAsia="Calibri" w:cs="Arial"/>
          <w:szCs w:val="18"/>
          <w:lang w:val="en-ZA"/>
        </w:rPr>
      </w:pPr>
    </w:p>
    <w:p w14:paraId="3661E2CF" w14:textId="77777777" w:rsidR="00E454FB" w:rsidRPr="00E454FB" w:rsidRDefault="00E454FB" w:rsidP="00E454FB">
      <w:pPr>
        <w:tabs>
          <w:tab w:val="clear" w:pos="7100"/>
        </w:tabs>
        <w:spacing w:after="200" w:line="276" w:lineRule="auto"/>
        <w:rPr>
          <w:rFonts w:eastAsia="Calibri" w:cs="Arial"/>
          <w:b/>
          <w:bCs/>
          <w:szCs w:val="18"/>
          <w:lang w:val="en-US"/>
        </w:rPr>
      </w:pPr>
      <w:r w:rsidRPr="00E454FB">
        <w:rPr>
          <w:rFonts w:eastAsia="Calibri" w:cs="Arial"/>
          <w:b/>
          <w:bCs/>
          <w:szCs w:val="18"/>
          <w:lang w:val="en-US"/>
        </w:rPr>
        <w:t>4. Conclusions</w:t>
      </w:r>
    </w:p>
    <w:p w14:paraId="7CB69880" w14:textId="5A86CEAA" w:rsidR="00A15DD7" w:rsidRDefault="00100304" w:rsidP="00E77CD4">
      <w:pPr>
        <w:tabs>
          <w:tab w:val="clear" w:pos="7100"/>
        </w:tabs>
        <w:spacing w:after="200" w:line="276" w:lineRule="auto"/>
        <w:rPr>
          <w:rFonts w:eastAsia="Calibri" w:cs="Arial"/>
          <w:szCs w:val="18"/>
          <w:lang w:val="en-US"/>
        </w:rPr>
      </w:pPr>
      <w:r>
        <w:t>The</w:t>
      </w:r>
      <w:r w:rsidRPr="002166AB">
        <w:t xml:space="preserve"> adsorption isotherm and kinetic </w:t>
      </w:r>
      <w:r>
        <w:t>studies were effective in comprehending and interpreting the biosorption mechanism pathways for the adsorption of Pd (II) by P41C.</w:t>
      </w:r>
      <w:r>
        <w:rPr>
          <w:rFonts w:eastAsia="Calibri" w:cs="Arial"/>
          <w:szCs w:val="18"/>
          <w:lang w:val="en-US"/>
        </w:rPr>
        <w:t xml:space="preserve">  </w:t>
      </w:r>
      <w:r w:rsidR="0002754E" w:rsidRPr="0002754E">
        <w:rPr>
          <w:rFonts w:eastAsia="Calibri" w:cs="Arial"/>
          <w:szCs w:val="18"/>
          <w:lang w:val="en-US"/>
        </w:rPr>
        <w:t xml:space="preserve">The biosorption experimental results from this study </w:t>
      </w:r>
      <w:r w:rsidR="0002754E">
        <w:rPr>
          <w:rFonts w:eastAsia="Calibri" w:cs="Arial"/>
          <w:szCs w:val="18"/>
          <w:lang w:val="en-US"/>
        </w:rPr>
        <w:t>indicated</w:t>
      </w:r>
      <w:r w:rsidR="0002754E" w:rsidRPr="0002754E">
        <w:rPr>
          <w:rFonts w:eastAsia="Calibri" w:cs="Arial"/>
          <w:szCs w:val="18"/>
          <w:lang w:val="en-US"/>
        </w:rPr>
        <w:t xml:space="preserve"> that Pd (II) was adsorbed by P41C on a homogeneous surface via monolayer adsorption, </w:t>
      </w:r>
      <w:r w:rsidR="006F715B">
        <w:rPr>
          <w:rFonts w:eastAsia="Calibri" w:cs="Arial"/>
          <w:szCs w:val="18"/>
          <w:lang w:val="en-US"/>
        </w:rPr>
        <w:t>this</w:t>
      </w:r>
      <w:r w:rsidR="0002754E" w:rsidRPr="0002754E">
        <w:rPr>
          <w:rFonts w:eastAsia="Calibri" w:cs="Arial"/>
          <w:szCs w:val="18"/>
          <w:lang w:val="en-US"/>
        </w:rPr>
        <w:t xml:space="preserve"> was </w:t>
      </w:r>
      <w:r w:rsidR="0002754E" w:rsidRPr="0002754E">
        <w:rPr>
          <w:rFonts w:eastAsia="Calibri" w:cs="Arial"/>
          <w:szCs w:val="18"/>
          <w:lang w:val="en-US"/>
        </w:rPr>
        <w:lastRenderedPageBreak/>
        <w:t xml:space="preserve">supported by the Langmuir isotherm model, which was found to be </w:t>
      </w:r>
      <w:r w:rsidR="006F715B">
        <w:rPr>
          <w:rFonts w:eastAsia="Calibri" w:cs="Arial"/>
          <w:szCs w:val="18"/>
          <w:lang w:val="en-US"/>
        </w:rPr>
        <w:t>effective</w:t>
      </w:r>
      <w:r w:rsidR="0002754E" w:rsidRPr="0002754E">
        <w:rPr>
          <w:rFonts w:eastAsia="Calibri" w:cs="Arial"/>
          <w:szCs w:val="18"/>
          <w:lang w:val="en-US"/>
        </w:rPr>
        <w:t xml:space="preserve"> in explaining the experimental results.</w:t>
      </w:r>
      <w:r w:rsidR="006F715B">
        <w:rPr>
          <w:rFonts w:eastAsia="Calibri" w:cs="Arial"/>
          <w:szCs w:val="18"/>
          <w:lang w:val="en-US"/>
        </w:rPr>
        <w:t xml:space="preserve"> </w:t>
      </w:r>
      <w:r w:rsidR="00B20387" w:rsidRPr="00E454FB">
        <w:rPr>
          <w:rFonts w:eastAsia="Calibri" w:cs="Arial"/>
          <w:szCs w:val="18"/>
          <w:lang w:val="en-ZA"/>
        </w:rPr>
        <w:t xml:space="preserve">It is </w:t>
      </w:r>
      <w:r w:rsidR="006F715B">
        <w:rPr>
          <w:rFonts w:eastAsia="Calibri" w:cs="Arial"/>
          <w:szCs w:val="18"/>
          <w:lang w:val="en-ZA"/>
        </w:rPr>
        <w:t xml:space="preserve">also </w:t>
      </w:r>
      <w:r w:rsidR="00B20387" w:rsidRPr="00E454FB">
        <w:rPr>
          <w:rFonts w:eastAsia="Calibri" w:cs="Arial"/>
          <w:szCs w:val="18"/>
          <w:lang w:val="en-ZA"/>
        </w:rPr>
        <w:t>worth noting that the value of q</w:t>
      </w:r>
      <w:r w:rsidR="00B20387" w:rsidRPr="00E454FB">
        <w:rPr>
          <w:rFonts w:eastAsia="Calibri" w:cs="Arial"/>
          <w:szCs w:val="18"/>
          <w:vertAlign w:val="subscript"/>
          <w:lang w:val="en-ZA"/>
        </w:rPr>
        <w:t>max</w:t>
      </w:r>
      <w:r w:rsidR="00B20387" w:rsidRPr="00E454FB">
        <w:rPr>
          <w:rFonts w:eastAsia="Calibri" w:cs="Arial"/>
          <w:szCs w:val="18"/>
          <w:lang w:val="en-ZA"/>
        </w:rPr>
        <w:t xml:space="preserve"> calculated from the Langmuir model (</w:t>
      </w:r>
      <w:r w:rsidR="00B20387" w:rsidRPr="00E454FB">
        <w:rPr>
          <w:rFonts w:eastAsia="Calibri" w:cs="Arial"/>
          <w:color w:val="111111"/>
          <w:szCs w:val="18"/>
          <w:shd w:val="clear" w:color="auto" w:fill="FFFFFF"/>
          <w:lang w:val="en-US"/>
        </w:rPr>
        <w:t>148.498</w:t>
      </w:r>
      <w:r w:rsidR="00B20387" w:rsidRPr="00E454FB">
        <w:rPr>
          <w:rFonts w:eastAsia="Calibri" w:cs="Arial"/>
          <w:szCs w:val="18"/>
          <w:lang w:val="en-ZA"/>
        </w:rPr>
        <w:t>mg/g),  was</w:t>
      </w:r>
      <w:r w:rsidR="00B20387">
        <w:rPr>
          <w:rFonts w:eastAsia="Calibri" w:cs="Arial"/>
          <w:szCs w:val="18"/>
          <w:lang w:val="en-ZA"/>
        </w:rPr>
        <w:t xml:space="preserve"> slightly</w:t>
      </w:r>
      <w:r w:rsidR="00B20387" w:rsidRPr="00E454FB">
        <w:rPr>
          <w:rFonts w:eastAsia="Calibri" w:cs="Arial"/>
          <w:szCs w:val="18"/>
          <w:lang w:val="en-ZA"/>
        </w:rPr>
        <w:t xml:space="preserve"> higher compared to the experimental one (125 mg/g); suggesting that a larger amount of metal ions was needed to form the monolayer coverage</w:t>
      </w:r>
      <w:r w:rsidR="006F715B">
        <w:rPr>
          <w:rFonts w:eastAsia="Calibri" w:cs="Arial"/>
          <w:szCs w:val="18"/>
          <w:lang w:val="en-ZA"/>
        </w:rPr>
        <w:t>.</w:t>
      </w:r>
      <w:r w:rsidR="00F85773">
        <w:rPr>
          <w:rFonts w:eastAsia="Calibri" w:cs="Arial"/>
          <w:szCs w:val="18"/>
          <w:lang w:val="en-US"/>
        </w:rPr>
        <w:t xml:space="preserve"> </w:t>
      </w:r>
      <w:r w:rsidR="00F85773" w:rsidRPr="00F85773">
        <w:rPr>
          <w:rFonts w:eastAsia="Calibri" w:cs="Arial"/>
          <w:szCs w:val="18"/>
          <w:lang w:val="en-US"/>
        </w:rPr>
        <w:t>The adsorption kinetics of Pd (II) onto P41C were found to be best explained by the pseudo-second-order model, demonstrating that surface adsorption involves chemisorption, where the removal from a solution is caused by physicochemical interactions between the two phases.</w:t>
      </w:r>
      <w:r w:rsidR="00AE162E">
        <w:rPr>
          <w:rFonts w:eastAsia="Calibri" w:cs="Arial"/>
          <w:szCs w:val="18"/>
          <w:lang w:val="en-US"/>
        </w:rPr>
        <w:t xml:space="preserve">  </w:t>
      </w:r>
    </w:p>
    <w:p w14:paraId="3FDE5E9C" w14:textId="77777777" w:rsidR="00AE162E" w:rsidRDefault="00AE162E" w:rsidP="00FB7340">
      <w:pPr>
        <w:pStyle w:val="NoSpacing"/>
        <w:rPr>
          <w:rFonts w:eastAsia="Calibri"/>
          <w:lang w:val="en-US"/>
        </w:rPr>
      </w:pPr>
    </w:p>
    <w:p w14:paraId="52233576" w14:textId="3C482DFA" w:rsidR="00E04277" w:rsidRDefault="00E04277" w:rsidP="00E77CD4">
      <w:pPr>
        <w:tabs>
          <w:tab w:val="clear" w:pos="7100"/>
        </w:tabs>
        <w:spacing w:after="200" w:line="276" w:lineRule="auto"/>
        <w:rPr>
          <w:rFonts w:eastAsia="Calibri" w:cs="Arial"/>
          <w:b/>
          <w:bCs/>
          <w:szCs w:val="18"/>
          <w:lang w:val="en-US"/>
        </w:rPr>
      </w:pPr>
      <w:r w:rsidRPr="00E04277">
        <w:rPr>
          <w:rFonts w:eastAsia="Calibri" w:cs="Arial"/>
          <w:b/>
          <w:bCs/>
          <w:szCs w:val="18"/>
          <w:lang w:val="en-US"/>
        </w:rPr>
        <w:t>Nomenclature</w:t>
      </w:r>
    </w:p>
    <w:tbl>
      <w:tblPr>
        <w:tblStyle w:val="TableGrid"/>
        <w:tblW w:w="1148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827"/>
        <w:gridCol w:w="3686"/>
      </w:tblGrid>
      <w:tr w:rsidR="00845AC4" w:rsidRPr="00C066DB" w14:paraId="1E2D078E" w14:textId="77777777" w:rsidTr="00795105">
        <w:tc>
          <w:tcPr>
            <w:tcW w:w="3970" w:type="dxa"/>
          </w:tcPr>
          <w:bookmarkStart w:id="8" w:name="_Hlk127525559"/>
          <w:p w14:paraId="5FC6A3D5" w14:textId="05FE2D3D" w:rsidR="00845AC4" w:rsidRPr="00C066DB" w:rsidRDefault="00000000" w:rsidP="00845AC4">
            <w:pPr>
              <w:tabs>
                <w:tab w:val="clear" w:pos="7100"/>
              </w:tabs>
              <w:spacing w:after="200" w:line="240" w:lineRule="auto"/>
              <w:ind w:left="-113"/>
              <w:rPr>
                <w:rFonts w:eastAsia="Calibri" w:cs="Arial"/>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e</m:t>
                  </m:r>
                </m:sub>
              </m:sSub>
            </m:oMath>
            <w:r w:rsidR="00845AC4" w:rsidRPr="00C966CF">
              <w:rPr>
                <w:rFonts w:eastAsia="Calibri" w:cs="Arial"/>
                <w:szCs w:val="18"/>
                <w:lang w:val="en-US"/>
              </w:rPr>
              <w:t xml:space="preserve"> </w:t>
            </w:r>
            <w:r w:rsidR="00D857CC">
              <w:rPr>
                <w:rFonts w:eastAsia="Calibri" w:cs="Arial"/>
                <w:szCs w:val="18"/>
                <w:lang w:val="en-US"/>
              </w:rPr>
              <w:t xml:space="preserve">- </w:t>
            </w:r>
            <w:r w:rsidR="00845AC4" w:rsidRPr="00C966CF">
              <w:rPr>
                <w:rFonts w:eastAsia="Calibri" w:cs="Arial"/>
                <w:szCs w:val="18"/>
                <w:lang w:val="en-US"/>
              </w:rPr>
              <w:t xml:space="preserve">amount of adsorbed metal </w:t>
            </w:r>
            <w:r w:rsidR="00845AC4" w:rsidRPr="00C066DB">
              <w:rPr>
                <w:rFonts w:eastAsia="Calibri" w:cs="Arial"/>
                <w:szCs w:val="18"/>
                <w:lang w:val="en-US"/>
              </w:rPr>
              <w:t xml:space="preserve">at equilibrium, </w:t>
            </w:r>
            <w:r w:rsidR="00845AC4" w:rsidRPr="00C966CF">
              <w:rPr>
                <w:rFonts w:eastAsia="Calibri" w:cs="Arial"/>
                <w:szCs w:val="18"/>
                <w:lang w:val="en-US"/>
              </w:rPr>
              <w:t xml:space="preserve">mg/g </w:t>
            </w:r>
          </w:p>
        </w:tc>
        <w:tc>
          <w:tcPr>
            <w:tcW w:w="3827" w:type="dxa"/>
          </w:tcPr>
          <w:p w14:paraId="62880C2D" w14:textId="183CD7B9" w:rsidR="00845AC4" w:rsidRPr="00C066DB" w:rsidRDefault="00000000" w:rsidP="00845AC4">
            <w:pPr>
              <w:tabs>
                <w:tab w:val="clear" w:pos="7100"/>
              </w:tabs>
              <w:spacing w:after="200" w:line="240" w:lineRule="auto"/>
              <w:rPr>
                <w:rFonts w:eastAsia="Calibri" w:cs="Arial"/>
                <w:b/>
                <w:bCs/>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max</m:t>
                  </m:r>
                </m:sub>
              </m:sSub>
              <m:r>
                <w:rPr>
                  <w:rFonts w:ascii="Cambria Math" w:eastAsia="Calibri" w:hAnsi="Cambria Math" w:cs="Arial"/>
                  <w:szCs w:val="18"/>
                  <w:lang w:val="en-US"/>
                </w:rPr>
                <m:t xml:space="preserve"> </m:t>
              </m:r>
              <m:r>
                <w:rPr>
                  <w:rFonts w:ascii="Cambria Math" w:eastAsia="Calibri" w:hAnsi="Cambria Math" w:cs="Arial"/>
                  <w:szCs w:val="18"/>
                  <w:lang w:val="en-US"/>
                </w:rPr>
                <m:t xml:space="preserve"> </m:t>
              </m:r>
            </m:oMath>
            <w:r w:rsidR="009947CA">
              <w:rPr>
                <w:rFonts w:eastAsia="Calibri" w:cs="Arial"/>
                <w:szCs w:val="18"/>
                <w:lang w:val="en-US"/>
              </w:rPr>
              <w:t xml:space="preserve">- </w:t>
            </w:r>
            <w:r w:rsidR="00845AC4">
              <w:rPr>
                <w:rFonts w:eastAsia="Calibri" w:cs="Arial"/>
                <w:szCs w:val="18"/>
                <w:lang w:val="en-US"/>
              </w:rPr>
              <w:t xml:space="preserve">Langmuir isotherm constant related to </w:t>
            </w:r>
            <w:r w:rsidR="00845AC4" w:rsidRPr="00C966CF">
              <w:rPr>
                <w:rFonts w:eastAsia="Calibri" w:cs="Arial"/>
                <w:szCs w:val="18"/>
                <w:lang w:val="en-US"/>
              </w:rPr>
              <w:t>maximum monolayer sorption capacity</w:t>
            </w:r>
            <w:r w:rsidR="00845AC4" w:rsidRPr="00C066DB">
              <w:rPr>
                <w:rFonts w:eastAsia="Calibri" w:cs="Arial"/>
                <w:szCs w:val="18"/>
                <w:lang w:val="en-US"/>
              </w:rPr>
              <w:t xml:space="preserve">; </w:t>
            </w:r>
            <w:r w:rsidR="00845AC4" w:rsidRPr="00C966CF">
              <w:rPr>
                <w:rFonts w:eastAsia="Calibri" w:cs="Arial"/>
                <w:szCs w:val="18"/>
                <w:lang w:val="en-US"/>
              </w:rPr>
              <w:t>mg/g</w:t>
            </w:r>
          </w:p>
        </w:tc>
        <w:tc>
          <w:tcPr>
            <w:tcW w:w="3686" w:type="dxa"/>
          </w:tcPr>
          <w:p w14:paraId="18480679" w14:textId="2F44AC80" w:rsidR="00845AC4" w:rsidRPr="00C066DB" w:rsidRDefault="00000000" w:rsidP="00845AC4">
            <w:pPr>
              <w:tabs>
                <w:tab w:val="clear" w:pos="7100"/>
              </w:tabs>
              <w:spacing w:after="200" w:line="240" w:lineRule="auto"/>
              <w:rPr>
                <w:rFonts w:eastAsia="Calibri" w:cs="Arial"/>
                <w:b/>
                <w:bCs/>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q</m:t>
                  </m:r>
                </m:e>
                <m:sub>
                  <m:r>
                    <w:rPr>
                      <w:rFonts w:ascii="Cambria Math" w:eastAsia="Calibri" w:hAnsi="Cambria Math" w:cs="Arial"/>
                      <w:szCs w:val="18"/>
                      <w:lang w:val="en-US"/>
                    </w:rPr>
                    <m:t>t</m:t>
                  </m:r>
                </m:sub>
              </m:sSub>
            </m:oMath>
            <w:r w:rsidR="009947CA">
              <w:rPr>
                <w:rFonts w:eastAsia="Calibri" w:cs="Arial"/>
                <w:szCs w:val="18"/>
                <w:lang w:val="en-US"/>
              </w:rPr>
              <w:t xml:space="preserve"> -</w:t>
            </w:r>
            <w:r w:rsidR="00845AC4">
              <w:rPr>
                <w:rFonts w:eastAsia="Calibri" w:cs="Arial"/>
                <w:szCs w:val="18"/>
                <w:lang w:val="en-US"/>
              </w:rPr>
              <w:t xml:space="preserve"> </w:t>
            </w:r>
            <w:r w:rsidR="00845AC4" w:rsidRPr="00C966CF">
              <w:rPr>
                <w:rFonts w:eastAsia="Calibri" w:cs="Arial"/>
                <w:szCs w:val="18"/>
                <w:lang w:val="en-US"/>
              </w:rPr>
              <w:t xml:space="preserve">concentration of metal ion species on the biosorbent at time </w:t>
            </w:r>
            <m:oMath>
              <m:r>
                <w:rPr>
                  <w:rFonts w:ascii="Cambria Math" w:eastAsia="Calibri" w:hAnsi="Cambria Math" w:cs="Arial"/>
                  <w:szCs w:val="18"/>
                  <w:lang w:val="en-US"/>
                </w:rPr>
                <m:t>t</m:t>
              </m:r>
            </m:oMath>
            <w:r w:rsidR="00845AC4" w:rsidRPr="00C966CF">
              <w:rPr>
                <w:rFonts w:eastAsia="Calibri" w:cs="Arial"/>
                <w:szCs w:val="18"/>
                <w:lang w:val="en-US"/>
              </w:rPr>
              <w:t xml:space="preserve"> </w:t>
            </w:r>
            <w:r w:rsidR="00845AC4">
              <w:rPr>
                <w:rFonts w:eastAsia="Calibri" w:cs="Arial"/>
                <w:szCs w:val="18"/>
                <w:lang w:val="en-US"/>
              </w:rPr>
              <w:t xml:space="preserve">, </w:t>
            </w:r>
            <w:r w:rsidR="00845AC4" w:rsidRPr="00C966CF">
              <w:rPr>
                <w:rFonts w:eastAsia="Calibri" w:cs="Arial"/>
                <w:szCs w:val="18"/>
                <w:lang w:val="en-US"/>
              </w:rPr>
              <w:t>mg/g</w:t>
            </w:r>
          </w:p>
        </w:tc>
      </w:tr>
      <w:tr w:rsidR="00845AC4" w:rsidRPr="00C066DB" w14:paraId="59640A9D" w14:textId="77777777" w:rsidTr="00795105">
        <w:tc>
          <w:tcPr>
            <w:tcW w:w="3970" w:type="dxa"/>
          </w:tcPr>
          <w:p w14:paraId="4087A3E2" w14:textId="2F4C7863" w:rsidR="00845AC4" w:rsidRPr="00C066DB" w:rsidRDefault="00000000" w:rsidP="009947CA">
            <w:pPr>
              <w:tabs>
                <w:tab w:val="clear" w:pos="7100"/>
              </w:tabs>
              <w:spacing w:after="200" w:line="240" w:lineRule="auto"/>
              <w:ind w:left="-101"/>
              <w:rPr>
                <w:rFonts w:eastAsia="Calibri" w:cs="Arial"/>
                <w:b/>
                <w:bCs/>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C</m:t>
                  </m:r>
                </m:e>
                <m:sub>
                  <m:r>
                    <w:rPr>
                      <w:rFonts w:ascii="Cambria Math" w:eastAsia="Calibri" w:hAnsi="Cambria Math" w:cs="Arial"/>
                      <w:szCs w:val="18"/>
                      <w:lang w:val="en-US"/>
                    </w:rPr>
                    <m:t>0</m:t>
                  </m:r>
                </m:sub>
              </m:sSub>
            </m:oMath>
            <w:r w:rsidR="00845AC4" w:rsidRPr="00C066DB">
              <w:rPr>
                <w:rFonts w:eastAsia="Calibri" w:cs="Arial"/>
                <w:szCs w:val="18"/>
                <w:lang w:val="en-US"/>
              </w:rPr>
              <w:t xml:space="preserve"> </w:t>
            </w:r>
            <w:r w:rsidR="00D857CC">
              <w:rPr>
                <w:rFonts w:eastAsia="Calibri" w:cs="Arial"/>
                <w:szCs w:val="18"/>
                <w:lang w:val="en-US"/>
              </w:rPr>
              <w:t xml:space="preserve">- </w:t>
            </w:r>
            <w:r w:rsidR="00845AC4" w:rsidRPr="00C966CF">
              <w:rPr>
                <w:rFonts w:eastAsia="Calibri" w:cs="Arial"/>
                <w:szCs w:val="18"/>
                <w:lang w:val="en-US"/>
              </w:rPr>
              <w:t>initial</w:t>
            </w:r>
            <w:r w:rsidR="00845AC4" w:rsidRPr="00C066DB">
              <w:rPr>
                <w:rFonts w:eastAsia="Calibri" w:cs="Arial"/>
                <w:szCs w:val="18"/>
                <w:lang w:val="en-US"/>
              </w:rPr>
              <w:t xml:space="preserve"> </w:t>
            </w:r>
            <w:r w:rsidR="00845AC4" w:rsidRPr="00C966CF">
              <w:rPr>
                <w:rFonts w:eastAsia="Calibri" w:cs="Arial"/>
                <w:szCs w:val="18"/>
                <w:lang w:val="en-US"/>
              </w:rPr>
              <w:t xml:space="preserve">metal concentrations (mg/L), </w:t>
            </w:r>
          </w:p>
        </w:tc>
        <w:tc>
          <w:tcPr>
            <w:tcW w:w="3827" w:type="dxa"/>
          </w:tcPr>
          <w:p w14:paraId="2EA6F204" w14:textId="712C9C23" w:rsidR="00845AC4" w:rsidRPr="00C066DB" w:rsidRDefault="00000000" w:rsidP="00845AC4">
            <w:pPr>
              <w:tabs>
                <w:tab w:val="clear" w:pos="7100"/>
              </w:tabs>
              <w:spacing w:after="200" w:line="240" w:lineRule="auto"/>
              <w:rPr>
                <w:rFonts w:eastAsia="Calibri" w:cs="Arial"/>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L</m:t>
                  </m:r>
                  <m:r>
                    <w:rPr>
                      <w:rFonts w:ascii="Cambria Math" w:eastAsia="Calibri" w:hAnsi="Cambria Math" w:cs="Arial"/>
                      <w:szCs w:val="18"/>
                      <w:lang w:val="en-US"/>
                    </w:rPr>
                    <m:t xml:space="preserve"> </m:t>
                  </m:r>
                </m:sub>
              </m:sSub>
            </m:oMath>
            <w:r w:rsidR="009947CA">
              <w:rPr>
                <w:rFonts w:eastAsia="Calibri" w:cs="Arial"/>
                <w:szCs w:val="18"/>
                <w:lang w:val="en-US"/>
              </w:rPr>
              <w:t>-</w:t>
            </w:r>
            <w:r w:rsidR="00845AC4" w:rsidRPr="00C066DB">
              <w:rPr>
                <w:rFonts w:eastAsia="Calibri" w:cs="Arial"/>
                <w:szCs w:val="18"/>
                <w:lang w:val="en-US"/>
              </w:rPr>
              <w:t xml:space="preserve"> </w:t>
            </w:r>
            <w:r w:rsidR="00845AC4">
              <w:rPr>
                <w:rFonts w:eastAsia="Calibri" w:cs="Arial"/>
                <w:szCs w:val="18"/>
                <w:lang w:val="en-US"/>
              </w:rPr>
              <w:t xml:space="preserve">Langmuir isotherm constant related to </w:t>
            </w:r>
            <w:r w:rsidR="00845AC4" w:rsidRPr="00C966CF">
              <w:rPr>
                <w:rFonts w:eastAsia="Calibri" w:cs="Arial"/>
                <w:szCs w:val="18"/>
                <w:lang w:val="en-US"/>
              </w:rPr>
              <w:t>energy or net enthalpy of adsorption L/mg</w:t>
            </w:r>
          </w:p>
        </w:tc>
        <w:tc>
          <w:tcPr>
            <w:tcW w:w="3686" w:type="dxa"/>
          </w:tcPr>
          <w:p w14:paraId="559F3FEB" w14:textId="2124DA52" w:rsidR="00845AC4" w:rsidRPr="00C066DB" w:rsidRDefault="00000000" w:rsidP="00845AC4">
            <w:pPr>
              <w:tabs>
                <w:tab w:val="clear" w:pos="7100"/>
              </w:tabs>
              <w:spacing w:after="200" w:line="240" w:lineRule="auto"/>
              <w:rPr>
                <w:rFonts w:eastAsia="Calibri" w:cs="Arial"/>
                <w:b/>
                <w:bCs/>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1</m:t>
                  </m:r>
                </m:sub>
              </m:sSub>
            </m:oMath>
            <w:r w:rsidR="009947CA">
              <w:rPr>
                <w:rFonts w:eastAsia="Calibri" w:cs="Arial"/>
                <w:szCs w:val="18"/>
                <w:lang w:val="en-US"/>
              </w:rPr>
              <w:t xml:space="preserve"> -</w:t>
            </w:r>
            <w:r w:rsidR="00D857CC">
              <w:rPr>
                <w:rFonts w:eastAsia="Calibri" w:cs="Arial"/>
                <w:szCs w:val="18"/>
                <w:lang w:val="en-US"/>
              </w:rPr>
              <w:t xml:space="preserve"> </w:t>
            </w:r>
            <w:r w:rsidR="00845AC4" w:rsidRPr="00C966CF">
              <w:rPr>
                <w:rFonts w:eastAsia="Calibri" w:cs="Arial"/>
                <w:szCs w:val="18"/>
                <w:lang w:val="en-US"/>
              </w:rPr>
              <w:t xml:space="preserve">equilibrium biosorption constant of pseudo-first-order (1/min).  </w:t>
            </w:r>
          </w:p>
        </w:tc>
      </w:tr>
      <w:tr w:rsidR="00845AC4" w:rsidRPr="00C066DB" w14:paraId="41CBF41D" w14:textId="77777777" w:rsidTr="00795105">
        <w:tc>
          <w:tcPr>
            <w:tcW w:w="3970" w:type="dxa"/>
          </w:tcPr>
          <w:p w14:paraId="6DF8069E" w14:textId="003D9A1B" w:rsidR="00845AC4" w:rsidRPr="00C066DB" w:rsidRDefault="00000000" w:rsidP="009947CA">
            <w:pPr>
              <w:tabs>
                <w:tab w:val="clear" w:pos="7100"/>
              </w:tabs>
              <w:spacing w:after="200" w:line="240" w:lineRule="auto"/>
              <w:ind w:left="-243" w:firstLine="130"/>
              <w:rPr>
                <w:rFonts w:eastAsia="Calibri" w:cs="Arial"/>
                <w:b/>
                <w:bCs/>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C</m:t>
                  </m:r>
                </m:e>
                <m:sub>
                  <m:r>
                    <w:rPr>
                      <w:rFonts w:ascii="Cambria Math" w:eastAsia="Calibri" w:hAnsi="Cambria Math" w:cs="Arial"/>
                      <w:szCs w:val="18"/>
                      <w:lang w:val="en-US"/>
                    </w:rPr>
                    <m:t>e</m:t>
                  </m:r>
                </m:sub>
              </m:sSub>
            </m:oMath>
            <w:r w:rsidR="00D857CC">
              <w:rPr>
                <w:rFonts w:eastAsia="Calibri" w:cs="Arial"/>
                <w:szCs w:val="18"/>
                <w:lang w:val="en-US"/>
              </w:rPr>
              <w:t xml:space="preserve"> - </w:t>
            </w:r>
            <w:r w:rsidR="00845AC4" w:rsidRPr="00C966CF">
              <w:rPr>
                <w:rFonts w:eastAsia="Calibri" w:cs="Arial"/>
                <w:szCs w:val="18"/>
                <w:lang w:val="en-US"/>
              </w:rPr>
              <w:t xml:space="preserve">metal concentrations </w:t>
            </w:r>
            <w:r w:rsidR="00845AC4" w:rsidRPr="00C066DB">
              <w:rPr>
                <w:rFonts w:eastAsia="Calibri" w:cs="Arial"/>
                <w:szCs w:val="18"/>
                <w:lang w:val="en-US"/>
              </w:rPr>
              <w:t xml:space="preserve">at equilibrium, </w:t>
            </w:r>
            <w:r w:rsidR="00845AC4" w:rsidRPr="00C966CF">
              <w:rPr>
                <w:rFonts w:eastAsia="Calibri" w:cs="Arial"/>
                <w:szCs w:val="18"/>
                <w:lang w:val="en-US"/>
              </w:rPr>
              <w:t>mg/L</w:t>
            </w:r>
          </w:p>
        </w:tc>
        <w:tc>
          <w:tcPr>
            <w:tcW w:w="3827" w:type="dxa"/>
          </w:tcPr>
          <w:p w14:paraId="5F22D694" w14:textId="5116F0B7" w:rsidR="00845AC4" w:rsidRPr="00C066DB" w:rsidRDefault="00000000" w:rsidP="00845AC4">
            <w:pPr>
              <w:tabs>
                <w:tab w:val="clear" w:pos="7100"/>
              </w:tabs>
              <w:spacing w:after="200" w:line="240" w:lineRule="auto"/>
              <w:rPr>
                <w:rFonts w:eastAsia="Calibri" w:cs="Arial"/>
                <w:b/>
                <w:bCs/>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f</m:t>
                  </m:r>
                </m:sub>
              </m:sSub>
            </m:oMath>
            <w:r w:rsidR="009947CA">
              <w:rPr>
                <w:rFonts w:eastAsia="Calibri" w:cs="Arial"/>
                <w:szCs w:val="18"/>
                <w:lang w:val="en-US"/>
              </w:rPr>
              <w:t xml:space="preserve"> -</w:t>
            </w:r>
            <w:r w:rsidR="00845AC4">
              <w:rPr>
                <w:rFonts w:eastAsia="Calibri" w:cs="Arial"/>
                <w:szCs w:val="18"/>
                <w:lang w:val="en-US"/>
              </w:rPr>
              <w:t xml:space="preserve"> </w:t>
            </w:r>
            <w:r w:rsidR="00845AC4" w:rsidRPr="00C966CF">
              <w:rPr>
                <w:rFonts w:eastAsia="Calibri" w:cs="Arial"/>
                <w:szCs w:val="18"/>
                <w:lang w:val="en-US"/>
              </w:rPr>
              <w:t>Freundlich isotherm constant related to biosorption capacity</w:t>
            </w:r>
            <w:r w:rsidR="00845AC4">
              <w:rPr>
                <w:rFonts w:eastAsia="Calibri" w:cs="Arial"/>
                <w:szCs w:val="18"/>
                <w:lang w:val="en-US"/>
              </w:rPr>
              <w:t xml:space="preserve">; </w:t>
            </w:r>
            <w:r w:rsidR="00845AC4" w:rsidRPr="00C966CF">
              <w:rPr>
                <w:rFonts w:eastAsia="Calibri" w:cs="Arial"/>
                <w:szCs w:val="18"/>
                <w:lang w:val="en-US"/>
              </w:rPr>
              <w:t>mg/g</w:t>
            </w:r>
          </w:p>
        </w:tc>
        <w:tc>
          <w:tcPr>
            <w:tcW w:w="3686" w:type="dxa"/>
          </w:tcPr>
          <w:p w14:paraId="568EDD48" w14:textId="74EEA1E1" w:rsidR="00845AC4" w:rsidRPr="00845AC4" w:rsidRDefault="00000000" w:rsidP="00845AC4">
            <w:pPr>
              <w:tabs>
                <w:tab w:val="clear" w:pos="7100"/>
              </w:tabs>
              <w:autoSpaceDE w:val="0"/>
              <w:autoSpaceDN w:val="0"/>
              <w:adjustRightInd w:val="0"/>
              <w:spacing w:line="276" w:lineRule="auto"/>
              <w:rPr>
                <w:rFonts w:eastAsia="Calibri" w:cs="Arial"/>
                <w:szCs w:val="18"/>
                <w:lang w:val="en-US"/>
              </w:rPr>
            </w:pPr>
            <m:oMath>
              <m:sSub>
                <m:sSubPr>
                  <m:ctrlPr>
                    <w:rPr>
                      <w:rFonts w:ascii="Cambria Math" w:eastAsia="Calibri" w:hAnsi="Cambria Math" w:cs="Arial"/>
                      <w:i/>
                      <w:szCs w:val="18"/>
                      <w:lang w:val="en-US"/>
                    </w:rPr>
                  </m:ctrlPr>
                </m:sSubPr>
                <m:e>
                  <m:r>
                    <w:rPr>
                      <w:rFonts w:ascii="Cambria Math" w:eastAsia="Calibri" w:hAnsi="Cambria Math" w:cs="Arial"/>
                      <w:szCs w:val="18"/>
                      <w:lang w:val="en-US"/>
                    </w:rPr>
                    <m:t>k</m:t>
                  </m:r>
                </m:e>
                <m:sub>
                  <m:r>
                    <w:rPr>
                      <w:rFonts w:ascii="Cambria Math" w:eastAsia="Calibri" w:hAnsi="Cambria Math" w:cs="Arial"/>
                      <w:szCs w:val="18"/>
                      <w:lang w:val="en-US"/>
                    </w:rPr>
                    <m:t>2</m:t>
                  </m:r>
                </m:sub>
              </m:sSub>
            </m:oMath>
            <w:r w:rsidR="009947CA">
              <w:rPr>
                <w:rFonts w:eastAsia="Calibri" w:cs="Arial"/>
                <w:szCs w:val="18"/>
                <w:lang w:val="en-US"/>
              </w:rPr>
              <w:t xml:space="preserve"> -</w:t>
            </w:r>
            <w:r w:rsidR="00D857CC">
              <w:rPr>
                <w:rFonts w:eastAsia="Calibri" w:cs="Arial"/>
                <w:szCs w:val="18"/>
                <w:lang w:val="en-US"/>
              </w:rPr>
              <w:t xml:space="preserve"> </w:t>
            </w:r>
            <w:r w:rsidR="00845AC4" w:rsidRPr="00C966CF">
              <w:rPr>
                <w:rFonts w:eastAsia="Calibri" w:cs="Arial"/>
                <w:szCs w:val="18"/>
                <w:lang w:val="en-US"/>
              </w:rPr>
              <w:t xml:space="preserve">equilibrium biosorption constant of pseudo-second-order (g/mg/min).  </w:t>
            </w:r>
          </w:p>
        </w:tc>
      </w:tr>
      <w:tr w:rsidR="00845AC4" w:rsidRPr="00C066DB" w14:paraId="613B4FEF" w14:textId="77777777" w:rsidTr="00795105">
        <w:tc>
          <w:tcPr>
            <w:tcW w:w="3970" w:type="dxa"/>
          </w:tcPr>
          <w:p w14:paraId="4860D806" w14:textId="35C52597" w:rsidR="00845AC4" w:rsidRPr="00C066DB" w:rsidRDefault="00845AC4" w:rsidP="00845AC4">
            <w:pPr>
              <w:tabs>
                <w:tab w:val="clear" w:pos="7100"/>
              </w:tabs>
              <w:spacing w:after="200" w:line="240" w:lineRule="auto"/>
              <w:ind w:left="-113"/>
              <w:rPr>
                <w:rFonts w:eastAsia="Calibri" w:cs="Arial"/>
                <w:b/>
                <w:bCs/>
                <w:szCs w:val="18"/>
                <w:lang w:val="en-US"/>
              </w:rPr>
            </w:pPr>
            <m:oMath>
              <m:r>
                <w:rPr>
                  <w:rFonts w:ascii="Cambria Math" w:eastAsia="Calibri" w:hAnsi="Cambria Math" w:cs="Arial"/>
                  <w:szCs w:val="18"/>
                  <w:lang w:val="en-US"/>
                </w:rPr>
                <m:t xml:space="preserve">V </m:t>
              </m:r>
            </m:oMath>
            <w:r w:rsidR="00D857CC">
              <w:rPr>
                <w:rFonts w:eastAsia="Calibri" w:cs="Arial"/>
                <w:szCs w:val="18"/>
                <w:lang w:val="en-US"/>
              </w:rPr>
              <w:t xml:space="preserve">- </w:t>
            </w:r>
            <w:r w:rsidRPr="00C966CF">
              <w:rPr>
                <w:rFonts w:eastAsia="Calibri" w:cs="Arial"/>
                <w:szCs w:val="18"/>
                <w:lang w:val="en-US"/>
              </w:rPr>
              <w:t xml:space="preserve">volume (L) </w:t>
            </w:r>
          </w:p>
        </w:tc>
        <w:tc>
          <w:tcPr>
            <w:tcW w:w="3827" w:type="dxa"/>
          </w:tcPr>
          <w:p w14:paraId="464C2FB4" w14:textId="366E1113" w:rsidR="00845AC4" w:rsidRPr="005F174E" w:rsidRDefault="00845AC4" w:rsidP="00845AC4">
            <w:pPr>
              <w:tabs>
                <w:tab w:val="clear" w:pos="7100"/>
              </w:tabs>
              <w:spacing w:after="200" w:line="240" w:lineRule="auto"/>
              <w:rPr>
                <w:rFonts w:eastAsia="Calibri" w:cs="Arial"/>
                <w:szCs w:val="18"/>
                <w:lang w:val="en-US"/>
              </w:rPr>
            </w:pPr>
            <m:oMath>
              <m:r>
                <w:rPr>
                  <w:rFonts w:ascii="Cambria Math" w:eastAsia="Calibri" w:hAnsi="Cambria Math" w:cs="Arial"/>
                  <w:szCs w:val="18"/>
                  <w:lang w:val="en-US"/>
                </w:rPr>
                <m:t>n</m:t>
              </m:r>
            </m:oMath>
            <w:r w:rsidR="009947CA">
              <w:rPr>
                <w:rFonts w:eastAsia="Calibri" w:cs="Arial"/>
                <w:szCs w:val="18"/>
                <w:lang w:val="en-US"/>
              </w:rPr>
              <w:t xml:space="preserve"> -</w:t>
            </w:r>
            <w:r>
              <w:rPr>
                <w:rFonts w:eastAsia="Calibri" w:cs="Arial"/>
                <w:szCs w:val="18"/>
                <w:lang w:val="en-US"/>
              </w:rPr>
              <w:t xml:space="preserve"> </w:t>
            </w:r>
            <w:r w:rsidRPr="00C966CF">
              <w:rPr>
                <w:rFonts w:eastAsia="Calibri" w:cs="Arial"/>
                <w:szCs w:val="18"/>
                <w:lang w:val="en-US"/>
              </w:rPr>
              <w:t>Freundlich isotherm constant related biosorption intensity</w:t>
            </w:r>
          </w:p>
        </w:tc>
        <w:tc>
          <w:tcPr>
            <w:tcW w:w="3686" w:type="dxa"/>
          </w:tcPr>
          <w:p w14:paraId="73CED7D7" w14:textId="1CF414F5" w:rsidR="00845AC4" w:rsidRPr="00C066DB" w:rsidRDefault="00845AC4" w:rsidP="00845AC4">
            <w:pPr>
              <w:tabs>
                <w:tab w:val="clear" w:pos="7100"/>
              </w:tabs>
              <w:spacing w:after="200" w:line="240" w:lineRule="auto"/>
              <w:rPr>
                <w:rFonts w:eastAsia="Calibri" w:cs="Arial"/>
                <w:b/>
                <w:bCs/>
                <w:szCs w:val="18"/>
                <w:lang w:val="en-US"/>
              </w:rPr>
            </w:pPr>
            <m:oMath>
              <m:r>
                <w:rPr>
                  <w:rFonts w:ascii="Cambria Math" w:eastAsia="Calibri" w:hAnsi="Cambria Math" w:cs="Arial"/>
                  <w:szCs w:val="18"/>
                  <w:lang w:val="en-US"/>
                </w:rPr>
                <m:t>m</m:t>
              </m:r>
            </m:oMath>
            <w:r w:rsidR="009947CA">
              <w:rPr>
                <w:rFonts w:eastAsia="Calibri" w:cs="Arial"/>
                <w:szCs w:val="18"/>
                <w:lang w:val="en-US"/>
              </w:rPr>
              <w:t xml:space="preserve"> -</w:t>
            </w:r>
            <w:r w:rsidRPr="00C966CF">
              <w:rPr>
                <w:rFonts w:eastAsia="Calibri" w:cs="Arial"/>
                <w:szCs w:val="18"/>
                <w:lang w:val="en-US"/>
              </w:rPr>
              <w:t xml:space="preserve"> mass of the biosorbent (g).</w:t>
            </w:r>
          </w:p>
        </w:tc>
      </w:tr>
      <w:bookmarkEnd w:id="8"/>
    </w:tbl>
    <w:p w14:paraId="1FDD639C" w14:textId="77777777" w:rsidR="00F361FB" w:rsidRDefault="00F361FB" w:rsidP="00FB7340">
      <w:pPr>
        <w:pStyle w:val="NoSpacing"/>
        <w:rPr>
          <w:rFonts w:eastAsia="Calibri"/>
          <w:lang w:val="en-US"/>
        </w:rPr>
      </w:pPr>
    </w:p>
    <w:p w14:paraId="70465C08" w14:textId="2ECD9517" w:rsidR="00E77CD4" w:rsidRDefault="00E77CD4" w:rsidP="00E77CD4">
      <w:pPr>
        <w:tabs>
          <w:tab w:val="clear" w:pos="7100"/>
        </w:tabs>
        <w:spacing w:after="200" w:line="276" w:lineRule="auto"/>
        <w:rPr>
          <w:rFonts w:eastAsia="Calibri" w:cs="Arial"/>
          <w:b/>
          <w:bCs/>
          <w:szCs w:val="18"/>
          <w:lang w:val="en-US"/>
        </w:rPr>
      </w:pPr>
      <w:r w:rsidRPr="00E77CD4">
        <w:rPr>
          <w:rFonts w:eastAsia="Calibri" w:cs="Arial"/>
          <w:b/>
          <w:bCs/>
          <w:szCs w:val="18"/>
          <w:lang w:val="en-US"/>
        </w:rPr>
        <w:t>Acknowledgements</w:t>
      </w:r>
    </w:p>
    <w:p w14:paraId="0CD681C6" w14:textId="4A5D8177" w:rsidR="00E04277" w:rsidRDefault="00E04277" w:rsidP="00E77CD4">
      <w:pPr>
        <w:tabs>
          <w:tab w:val="clear" w:pos="7100"/>
        </w:tabs>
        <w:spacing w:after="200" w:line="276" w:lineRule="auto"/>
        <w:rPr>
          <w:rFonts w:eastAsia="Calibri" w:cs="Arial"/>
          <w:szCs w:val="18"/>
          <w:lang w:val="en-US"/>
        </w:rPr>
      </w:pPr>
      <w:r w:rsidRPr="00E04277">
        <w:rPr>
          <w:rFonts w:eastAsia="Calibri" w:cs="Arial"/>
          <w:szCs w:val="18"/>
          <w:lang w:val="en-US"/>
        </w:rPr>
        <w:t>This project was funded by Royal Bafokeng Platinum Mine.</w:t>
      </w:r>
    </w:p>
    <w:p w14:paraId="003C9284" w14:textId="77777777" w:rsidR="00F361FB" w:rsidRPr="00E77CD4" w:rsidRDefault="00F361FB" w:rsidP="00FB7340">
      <w:pPr>
        <w:pStyle w:val="NoSpacing"/>
        <w:rPr>
          <w:rFonts w:eastAsia="Calibri"/>
          <w:lang w:val="en-US"/>
        </w:rPr>
      </w:pPr>
    </w:p>
    <w:p w14:paraId="377F4B35" w14:textId="38810C64" w:rsidR="00F93829" w:rsidRDefault="00E77CD4" w:rsidP="00F93829">
      <w:pPr>
        <w:tabs>
          <w:tab w:val="clear" w:pos="7100"/>
        </w:tabs>
        <w:spacing w:after="200" w:line="276" w:lineRule="auto"/>
        <w:rPr>
          <w:rFonts w:eastAsia="Calibri" w:cs="Arial"/>
          <w:b/>
          <w:bCs/>
          <w:szCs w:val="18"/>
          <w:lang w:val="en-US"/>
        </w:rPr>
      </w:pPr>
      <w:r w:rsidRPr="00E77CD4">
        <w:rPr>
          <w:rFonts w:eastAsia="Calibri" w:cs="Arial"/>
          <w:b/>
          <w:bCs/>
          <w:szCs w:val="18"/>
          <w:lang w:val="en-US"/>
        </w:rPr>
        <w:t>References</w:t>
      </w:r>
    </w:p>
    <w:p w14:paraId="2C5D045A" w14:textId="77777777" w:rsidR="00121363" w:rsidRPr="00AB51A3" w:rsidRDefault="00121363" w:rsidP="00121363">
      <w:pPr>
        <w:pStyle w:val="CETReferencetext"/>
        <w:spacing w:line="240" w:lineRule="auto"/>
        <w:rPr>
          <w:b/>
          <w:bCs/>
          <w:lang w:val="en-US"/>
        </w:rPr>
      </w:pPr>
      <w:r w:rsidRPr="00AB51A3">
        <w:rPr>
          <w:lang w:val="en-US"/>
        </w:rPr>
        <w:t>AL-</w:t>
      </w:r>
      <w:proofErr w:type="spellStart"/>
      <w:r w:rsidRPr="00AB51A3">
        <w:rPr>
          <w:lang w:val="en-US"/>
        </w:rPr>
        <w:t>Aoh</w:t>
      </w:r>
      <w:proofErr w:type="spellEnd"/>
      <w:r w:rsidRPr="00AB51A3">
        <w:rPr>
          <w:lang w:val="en-US"/>
        </w:rPr>
        <w:t xml:space="preserve">, H.A., </w:t>
      </w:r>
      <w:proofErr w:type="spellStart"/>
      <w:r w:rsidRPr="00AB51A3">
        <w:rPr>
          <w:lang w:val="en-US"/>
        </w:rPr>
        <w:t>Maah</w:t>
      </w:r>
      <w:proofErr w:type="spellEnd"/>
      <w:r w:rsidRPr="00AB51A3">
        <w:rPr>
          <w:lang w:val="en-US"/>
        </w:rPr>
        <w:t xml:space="preserve">, M.J., Ahmad, A.A.,  Abas, M.R.B.  2012.  Adsorption of 4-nitrophenol on palm oil fuel ash activated by amino silane coupling agent. </w:t>
      </w:r>
      <w:r w:rsidRPr="00AB51A3">
        <w:rPr>
          <w:lang w:val="en-ZA"/>
        </w:rPr>
        <w:br/>
        <w:t>Desalination and Water Treatment </w:t>
      </w:r>
      <w:r w:rsidRPr="00AB51A3">
        <w:rPr>
          <w:lang w:val="en-US"/>
        </w:rPr>
        <w:t>. 40(1-3): 159 – 167</w:t>
      </w:r>
    </w:p>
    <w:p w14:paraId="077CB6FB" w14:textId="77777777" w:rsidR="00121363" w:rsidRPr="00AB51A3" w:rsidRDefault="00121363" w:rsidP="00121363">
      <w:pPr>
        <w:pStyle w:val="CETReferencetext"/>
        <w:spacing w:line="240" w:lineRule="auto"/>
        <w:rPr>
          <w:b/>
          <w:bCs/>
          <w:lang w:val="en-US"/>
        </w:rPr>
      </w:pPr>
      <w:proofErr w:type="spellStart"/>
      <w:r w:rsidRPr="00AB51A3">
        <w:rPr>
          <w:lang w:val="en-US"/>
        </w:rPr>
        <w:t>Godlewska-Żyłkiewicz</w:t>
      </w:r>
      <w:proofErr w:type="spellEnd"/>
      <w:r w:rsidRPr="00AB51A3">
        <w:rPr>
          <w:lang w:val="en-US"/>
        </w:rPr>
        <w:t xml:space="preserve"> B, </w:t>
      </w:r>
      <w:proofErr w:type="spellStart"/>
      <w:r w:rsidRPr="00AB51A3">
        <w:rPr>
          <w:lang w:val="en-US"/>
        </w:rPr>
        <w:t>Sawicka</w:t>
      </w:r>
      <w:proofErr w:type="spellEnd"/>
      <w:r w:rsidRPr="00AB51A3">
        <w:rPr>
          <w:lang w:val="en-US"/>
        </w:rPr>
        <w:t xml:space="preserve"> S, </w:t>
      </w:r>
      <w:proofErr w:type="spellStart"/>
      <w:r w:rsidRPr="00AB51A3">
        <w:rPr>
          <w:lang w:val="en-US"/>
        </w:rPr>
        <w:t>Karpińska</w:t>
      </w:r>
      <w:proofErr w:type="spellEnd"/>
      <w:r w:rsidRPr="00AB51A3">
        <w:rPr>
          <w:lang w:val="en-US"/>
        </w:rPr>
        <w:t xml:space="preserve"> J.  2019.  Removal of Platinum and Palladium from Wastewater by Means of Biosorption on Fungi Aspergillus sp. and Yeast Saccharomyces sp. Water 11(7): 1522</w:t>
      </w:r>
    </w:p>
    <w:p w14:paraId="56847D32" w14:textId="77777777" w:rsidR="00121363" w:rsidRPr="00AB51A3" w:rsidRDefault="00121363" w:rsidP="00121363">
      <w:pPr>
        <w:pStyle w:val="CETReferencetext"/>
        <w:spacing w:line="240" w:lineRule="auto"/>
        <w:rPr>
          <w:lang w:val="en-US"/>
        </w:rPr>
      </w:pPr>
      <w:r w:rsidRPr="00AB51A3">
        <w:rPr>
          <w:lang w:val="en-ZA"/>
        </w:rPr>
        <w:t xml:space="preserve">Govindarajan C., </w:t>
      </w:r>
      <w:proofErr w:type="spellStart"/>
      <w:r w:rsidRPr="00AB51A3">
        <w:rPr>
          <w:lang w:val="en-ZA"/>
        </w:rPr>
        <w:t>Ramasubramaniam</w:t>
      </w:r>
      <w:proofErr w:type="spellEnd"/>
      <w:r w:rsidRPr="00AB51A3">
        <w:rPr>
          <w:lang w:val="en-ZA"/>
        </w:rPr>
        <w:t xml:space="preserve"> S., </w:t>
      </w:r>
      <w:proofErr w:type="spellStart"/>
      <w:r w:rsidRPr="00AB51A3">
        <w:rPr>
          <w:lang w:val="en-ZA"/>
        </w:rPr>
        <w:t>Gomathi</w:t>
      </w:r>
      <w:proofErr w:type="spellEnd"/>
      <w:r w:rsidRPr="00AB51A3">
        <w:rPr>
          <w:lang w:val="en-ZA"/>
        </w:rPr>
        <w:t xml:space="preserve"> T., and Sudha P.N.  2011.  Studies on adsorption </w:t>
      </w:r>
      <w:proofErr w:type="spellStart"/>
      <w:r w:rsidRPr="00AB51A3">
        <w:rPr>
          <w:lang w:val="en-ZA"/>
        </w:rPr>
        <w:t>behavior</w:t>
      </w:r>
      <w:proofErr w:type="spellEnd"/>
      <w:r w:rsidRPr="00AB51A3">
        <w:rPr>
          <w:lang w:val="en-ZA"/>
        </w:rPr>
        <w:t xml:space="preserve"> of Cadmium onto </w:t>
      </w:r>
      <w:proofErr w:type="spellStart"/>
      <w:r w:rsidRPr="00AB51A3">
        <w:rPr>
          <w:lang w:val="en-ZA"/>
        </w:rPr>
        <w:t>nanochitosan</w:t>
      </w:r>
      <w:proofErr w:type="spellEnd"/>
      <w:r w:rsidRPr="00AB51A3">
        <w:rPr>
          <w:lang w:val="en-ZA"/>
        </w:rPr>
        <w:t>- carboxymethyl cellulose blend.  Archives of Applied Science Research 3 (5):572 – 580</w:t>
      </w:r>
    </w:p>
    <w:p w14:paraId="33C3C1FA" w14:textId="77777777" w:rsidR="00121363" w:rsidRPr="00AB51A3" w:rsidRDefault="00121363" w:rsidP="00121363">
      <w:pPr>
        <w:pStyle w:val="CETReferencetext"/>
        <w:spacing w:line="240" w:lineRule="auto"/>
        <w:rPr>
          <w:lang w:val="en-US"/>
        </w:rPr>
      </w:pPr>
      <w:r w:rsidRPr="00AB51A3">
        <w:rPr>
          <w:lang w:val="en-US"/>
        </w:rPr>
        <w:t>Mashangoane, B.F., Chirwa, E.N.  2022.  Cell surface display of palladium binding peptide on Saccharomyces cerevisiae EBY100 cells using the a-agglutinin anchor system developed for the biosorption of Pd (II).  Minerals Engineering 176: 107325</w:t>
      </w:r>
    </w:p>
    <w:p w14:paraId="77F5735A" w14:textId="77777777" w:rsidR="00121363" w:rsidRPr="00AB51A3" w:rsidRDefault="00121363" w:rsidP="00121363">
      <w:pPr>
        <w:pStyle w:val="CETReferencetext"/>
        <w:spacing w:line="240" w:lineRule="auto"/>
        <w:rPr>
          <w:lang w:val="en-US"/>
        </w:rPr>
      </w:pPr>
      <w:proofErr w:type="spellStart"/>
      <w:r w:rsidRPr="00AB51A3">
        <w:rPr>
          <w:lang w:val="en-US"/>
        </w:rPr>
        <w:t>Rangabhashiyam</w:t>
      </w:r>
      <w:proofErr w:type="spellEnd"/>
      <w:r w:rsidRPr="00AB51A3">
        <w:rPr>
          <w:lang w:val="en-US"/>
        </w:rPr>
        <w:t xml:space="preserve">, S., Anu, N., </w:t>
      </w:r>
      <w:proofErr w:type="spellStart"/>
      <w:r w:rsidRPr="00AB51A3">
        <w:rPr>
          <w:lang w:val="en-US"/>
        </w:rPr>
        <w:t>Nandagopal</w:t>
      </w:r>
      <w:proofErr w:type="spellEnd"/>
      <w:r w:rsidRPr="00AB51A3">
        <w:rPr>
          <w:lang w:val="en-US"/>
        </w:rPr>
        <w:t xml:space="preserve">, M. G., &amp; </w:t>
      </w:r>
      <w:proofErr w:type="spellStart"/>
      <w:r w:rsidRPr="00AB51A3">
        <w:rPr>
          <w:lang w:val="en-US"/>
        </w:rPr>
        <w:t>Selvaraju</w:t>
      </w:r>
      <w:proofErr w:type="spellEnd"/>
      <w:r w:rsidRPr="00AB51A3">
        <w:rPr>
          <w:lang w:val="en-US"/>
        </w:rPr>
        <w:t>, N. (2014). Relevance of isotherm models in biosorption of pollutants by agricultural byproducts. Journal of Environmental Chemical Engineering 2(1): 398-414</w:t>
      </w:r>
    </w:p>
    <w:p w14:paraId="1E57343D" w14:textId="77777777" w:rsidR="00121363" w:rsidRPr="00AB51A3" w:rsidRDefault="00121363" w:rsidP="00121363">
      <w:pPr>
        <w:pStyle w:val="CETReferencetext"/>
        <w:spacing w:line="240" w:lineRule="auto"/>
        <w:rPr>
          <w:lang w:val="en-US"/>
        </w:rPr>
      </w:pPr>
      <w:proofErr w:type="spellStart"/>
      <w:r w:rsidRPr="00AB51A3">
        <w:rPr>
          <w:lang w:val="en-US"/>
        </w:rPr>
        <w:t>Saitoh</w:t>
      </w:r>
      <w:proofErr w:type="spellEnd"/>
      <w:r w:rsidRPr="00AB51A3">
        <w:rPr>
          <w:lang w:val="en-US"/>
        </w:rPr>
        <w:t xml:space="preserve">, N.,  Fujimori, R., Yoshimura, T., Tanaka, H., </w:t>
      </w:r>
      <w:proofErr w:type="spellStart"/>
      <w:r w:rsidRPr="00AB51A3">
        <w:rPr>
          <w:lang w:val="en-US"/>
        </w:rPr>
        <w:t>Kondoh</w:t>
      </w:r>
      <w:proofErr w:type="spellEnd"/>
      <w:r w:rsidRPr="00AB51A3">
        <w:rPr>
          <w:lang w:val="en-US"/>
        </w:rPr>
        <w:t xml:space="preserve">, A. Nomura, T.,  </w:t>
      </w:r>
      <w:proofErr w:type="spellStart"/>
      <w:r w:rsidRPr="00AB51A3">
        <w:rPr>
          <w:lang w:val="en-US"/>
        </w:rPr>
        <w:t>Konishi</w:t>
      </w:r>
      <w:proofErr w:type="spellEnd"/>
      <w:r w:rsidRPr="00AB51A3">
        <w:rPr>
          <w:lang w:val="en-US"/>
        </w:rPr>
        <w:t xml:space="preserve">, Y. 2020.  Microbial recovery of palladium by baker's yeast through </w:t>
      </w:r>
      <w:proofErr w:type="spellStart"/>
      <w:r w:rsidRPr="00AB51A3">
        <w:rPr>
          <w:lang w:val="en-US"/>
        </w:rPr>
        <w:t>bioreductive</w:t>
      </w:r>
      <w:proofErr w:type="spellEnd"/>
      <w:r w:rsidRPr="00AB51A3">
        <w:rPr>
          <w:lang w:val="en-US"/>
        </w:rPr>
        <w:t xml:space="preserve"> deposition and biosorption.  Hydrometallurgy 196: 105413</w:t>
      </w:r>
    </w:p>
    <w:p w14:paraId="127BDB69" w14:textId="77777777" w:rsidR="00121363" w:rsidRPr="00AB51A3" w:rsidRDefault="00121363" w:rsidP="00121363">
      <w:pPr>
        <w:pStyle w:val="CETReferencetext"/>
        <w:spacing w:line="240" w:lineRule="auto"/>
        <w:rPr>
          <w:lang w:val="en-ZA"/>
        </w:rPr>
      </w:pPr>
      <w:proofErr w:type="spellStart"/>
      <w:r w:rsidRPr="00AB51A3">
        <w:rPr>
          <w:lang w:val="en-ZA"/>
        </w:rPr>
        <w:t>Savastru</w:t>
      </w:r>
      <w:proofErr w:type="spellEnd"/>
      <w:r w:rsidRPr="00AB51A3">
        <w:rPr>
          <w:lang w:val="en-ZA"/>
        </w:rPr>
        <w:t xml:space="preserve">, E., </w:t>
      </w:r>
      <w:proofErr w:type="spellStart"/>
      <w:r w:rsidRPr="00AB51A3">
        <w:rPr>
          <w:lang w:val="en-ZA"/>
        </w:rPr>
        <w:t>Bulgariu</w:t>
      </w:r>
      <w:proofErr w:type="spellEnd"/>
      <w:r w:rsidRPr="00AB51A3">
        <w:rPr>
          <w:lang w:val="en-ZA"/>
        </w:rPr>
        <w:t xml:space="preserve">, D., </w:t>
      </w:r>
      <w:proofErr w:type="spellStart"/>
      <w:r w:rsidRPr="00AB51A3">
        <w:rPr>
          <w:lang w:val="en-ZA"/>
        </w:rPr>
        <w:t>Zamfir</w:t>
      </w:r>
      <w:proofErr w:type="spellEnd"/>
      <w:r w:rsidRPr="00AB51A3">
        <w:rPr>
          <w:lang w:val="en-ZA"/>
        </w:rPr>
        <w:t xml:space="preserve">, C-I, </w:t>
      </w:r>
      <w:proofErr w:type="spellStart"/>
      <w:r w:rsidRPr="00AB51A3">
        <w:rPr>
          <w:lang w:val="en-ZA"/>
        </w:rPr>
        <w:t>Bulgariu</w:t>
      </w:r>
      <w:proofErr w:type="spellEnd"/>
      <w:r w:rsidRPr="00AB51A3">
        <w:rPr>
          <w:lang w:val="en-ZA"/>
        </w:rPr>
        <w:t>, L. 2022.  Application of Saccharomyces cerevisiae in the Biosorption of Co(II), Zn(II) and Cu(II) Ions from Aqueous Media.  Water 14(6):976</w:t>
      </w:r>
    </w:p>
    <w:p w14:paraId="349CF70E" w14:textId="77777777" w:rsidR="00121363" w:rsidRPr="00AB51A3" w:rsidRDefault="00121363" w:rsidP="00121363">
      <w:pPr>
        <w:pStyle w:val="CETReferencetext"/>
        <w:spacing w:line="240" w:lineRule="auto"/>
        <w:rPr>
          <w:lang w:val="en-US"/>
        </w:rPr>
      </w:pPr>
      <w:r w:rsidRPr="00AB51A3">
        <w:rPr>
          <w:lang w:val="en-US"/>
        </w:rPr>
        <w:t xml:space="preserve">Sudha, R., Kalpana, K., </w:t>
      </w:r>
      <w:proofErr w:type="spellStart"/>
      <w:r w:rsidRPr="00AB51A3">
        <w:rPr>
          <w:lang w:val="en-US"/>
        </w:rPr>
        <w:t>Rajachandrasekar</w:t>
      </w:r>
      <w:proofErr w:type="spellEnd"/>
      <w:r w:rsidRPr="00AB51A3">
        <w:rPr>
          <w:lang w:val="en-US"/>
        </w:rPr>
        <w:t xml:space="preserve">, T., </w:t>
      </w:r>
      <w:proofErr w:type="spellStart"/>
      <w:r w:rsidRPr="00AB51A3">
        <w:rPr>
          <w:lang w:val="en-US"/>
        </w:rPr>
        <w:t>Arivoli</w:t>
      </w:r>
      <w:proofErr w:type="spellEnd"/>
      <w:r w:rsidRPr="00AB51A3">
        <w:rPr>
          <w:lang w:val="en-US"/>
        </w:rPr>
        <w:t>, S.  2007.  Comparative study on the adsorption kinetics and thermodynamics of metal ions onto acid activated low cost pandanus carbon.  Journal of Chemistry 4: 304305</w:t>
      </w:r>
    </w:p>
    <w:p w14:paraId="04BE9880" w14:textId="77777777" w:rsidR="00121363" w:rsidRPr="00AB51A3" w:rsidRDefault="00121363" w:rsidP="00121363">
      <w:pPr>
        <w:pStyle w:val="CETReferencetext"/>
        <w:spacing w:line="240" w:lineRule="auto"/>
        <w:rPr>
          <w:lang w:val="en-US"/>
        </w:rPr>
      </w:pPr>
      <w:proofErr w:type="spellStart"/>
      <w:r w:rsidRPr="00AB51A3">
        <w:rPr>
          <w:lang w:val="en-US"/>
        </w:rPr>
        <w:t>Syafiqah</w:t>
      </w:r>
      <w:proofErr w:type="spellEnd"/>
      <w:r w:rsidRPr="00AB51A3">
        <w:rPr>
          <w:lang w:val="en-US"/>
        </w:rPr>
        <w:t xml:space="preserve">, M.S.I., </w:t>
      </w:r>
      <w:proofErr w:type="spellStart"/>
      <w:r w:rsidRPr="00AB51A3">
        <w:rPr>
          <w:lang w:val="en-US"/>
        </w:rPr>
        <w:t>Yussof</w:t>
      </w:r>
      <w:proofErr w:type="spellEnd"/>
      <w:r w:rsidRPr="00AB51A3">
        <w:rPr>
          <w:lang w:val="en-US"/>
        </w:rPr>
        <w:t xml:space="preserve">, H.W.  2018.  Kinetics, isotherms, and thermodynamic studies on the adsorption of Mercury (II) ion from aqueous solution using modified palm oil fuel ash </w:t>
      </w:r>
      <w:r w:rsidRPr="00AB51A3">
        <w:rPr>
          <w:lang w:val="en-ZA"/>
        </w:rPr>
        <w:t>Materials Today: Proceedings</w:t>
      </w:r>
      <w:r w:rsidRPr="00AB51A3">
        <w:rPr>
          <w:lang w:val="en-US"/>
        </w:rPr>
        <w:t>: 5(10): 21690 – 21697</w:t>
      </w:r>
    </w:p>
    <w:p w14:paraId="1EED13C2" w14:textId="77777777" w:rsidR="00121363" w:rsidRPr="00AB51A3" w:rsidRDefault="00121363" w:rsidP="00121363">
      <w:pPr>
        <w:pStyle w:val="CETReferencetext"/>
        <w:spacing w:line="240" w:lineRule="auto"/>
        <w:rPr>
          <w:lang w:val="en-US"/>
        </w:rPr>
      </w:pPr>
      <w:r w:rsidRPr="00AB51A3">
        <w:rPr>
          <w:lang w:val="en-US"/>
        </w:rPr>
        <w:t>Wang, J., Guo, X.  2020.  Adsorption kinetic models: physical meaning, applications, and solving methods. Journal of Hazardous Material 360: 122156</w:t>
      </w:r>
    </w:p>
    <w:p w14:paraId="081BC83B" w14:textId="77777777" w:rsidR="00121363" w:rsidRPr="00AB51A3" w:rsidRDefault="00121363" w:rsidP="00121363">
      <w:pPr>
        <w:pStyle w:val="CETReferencetext"/>
        <w:spacing w:line="240" w:lineRule="auto"/>
        <w:rPr>
          <w:lang w:val="en-ZA"/>
        </w:rPr>
      </w:pPr>
      <w:r w:rsidRPr="00AB51A3">
        <w:rPr>
          <w:lang w:val="en-ZA"/>
        </w:rPr>
        <w:t>Wang, H.,  Zhou, A., Peng, F.,  Yu H., Yang, J.  2007.  Mechanism study on adsorption of acidified multiwalled carbon nanotubes to Pb(II).  Journal of Colloid and Interface Science.  316(2): 277-283</w:t>
      </w:r>
    </w:p>
    <w:p w14:paraId="2CDD2F3D" w14:textId="77777777" w:rsidR="00121363" w:rsidRPr="00AB51A3" w:rsidRDefault="00121363" w:rsidP="00121363">
      <w:pPr>
        <w:pStyle w:val="CETReferencetext"/>
        <w:spacing w:line="240" w:lineRule="auto"/>
        <w:rPr>
          <w:lang w:val="en-ZA"/>
        </w:rPr>
      </w:pPr>
      <w:r w:rsidRPr="00AB51A3">
        <w:rPr>
          <w:lang w:val="en-ZA"/>
        </w:rPr>
        <w:t xml:space="preserve">Won, S.W., Mao, J., Kwak, I-S., </w:t>
      </w:r>
      <w:proofErr w:type="spellStart"/>
      <w:r w:rsidRPr="00AB51A3">
        <w:rPr>
          <w:lang w:val="en-ZA"/>
        </w:rPr>
        <w:t>Sathishkumar</w:t>
      </w:r>
      <w:proofErr w:type="spellEnd"/>
      <w:r w:rsidRPr="00AB51A3">
        <w:rPr>
          <w:lang w:val="en-ZA"/>
        </w:rPr>
        <w:t>, M., Yun, Y-S.  2010.  Platinum recovery from ICP wastewater by a combined method of biosorption and incineration.  Bioresource Technology 101: 1135-1140</w:t>
      </w:r>
    </w:p>
    <w:p w14:paraId="20E8C5FC" w14:textId="77777777" w:rsidR="00121363" w:rsidRPr="00121363" w:rsidRDefault="00121363" w:rsidP="00F93829">
      <w:pPr>
        <w:tabs>
          <w:tab w:val="clear" w:pos="7100"/>
        </w:tabs>
        <w:spacing w:after="200" w:line="276" w:lineRule="auto"/>
        <w:rPr>
          <w:rFonts w:eastAsia="Calibri" w:cs="Arial"/>
          <w:szCs w:val="18"/>
          <w:lang w:val="en-US"/>
        </w:rPr>
      </w:pPr>
    </w:p>
    <w:sectPr w:rsidR="00121363" w:rsidRPr="0012136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506C" w14:textId="77777777" w:rsidR="00EE6ADB" w:rsidRDefault="00EE6ADB" w:rsidP="004F5E36">
      <w:r>
        <w:separator/>
      </w:r>
    </w:p>
  </w:endnote>
  <w:endnote w:type="continuationSeparator" w:id="0">
    <w:p w14:paraId="5D346163" w14:textId="77777777" w:rsidR="00EE6ADB" w:rsidRDefault="00EE6AD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F96E" w14:textId="77777777" w:rsidR="00EE6ADB" w:rsidRDefault="00EE6ADB" w:rsidP="004F5E36">
      <w:r>
        <w:separator/>
      </w:r>
    </w:p>
  </w:footnote>
  <w:footnote w:type="continuationSeparator" w:id="0">
    <w:p w14:paraId="145571D6" w14:textId="77777777" w:rsidR="00EE6ADB" w:rsidRDefault="00EE6AD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467F"/>
    <w:rsid w:val="0002754E"/>
    <w:rsid w:val="0003148D"/>
    <w:rsid w:val="00031EEC"/>
    <w:rsid w:val="00051314"/>
    <w:rsid w:val="00051566"/>
    <w:rsid w:val="00054288"/>
    <w:rsid w:val="000562A9"/>
    <w:rsid w:val="00062A9A"/>
    <w:rsid w:val="00065058"/>
    <w:rsid w:val="00086C39"/>
    <w:rsid w:val="000A03B2"/>
    <w:rsid w:val="000D0268"/>
    <w:rsid w:val="000D34BE"/>
    <w:rsid w:val="000E102F"/>
    <w:rsid w:val="000E36F1"/>
    <w:rsid w:val="000E3A73"/>
    <w:rsid w:val="000E414A"/>
    <w:rsid w:val="000F093C"/>
    <w:rsid w:val="000F787B"/>
    <w:rsid w:val="00100304"/>
    <w:rsid w:val="0012091F"/>
    <w:rsid w:val="00121363"/>
    <w:rsid w:val="00126BC2"/>
    <w:rsid w:val="001308B6"/>
    <w:rsid w:val="0013121F"/>
    <w:rsid w:val="00131FE6"/>
    <w:rsid w:val="0013263F"/>
    <w:rsid w:val="001331DF"/>
    <w:rsid w:val="00134DE4"/>
    <w:rsid w:val="0014034D"/>
    <w:rsid w:val="00144D16"/>
    <w:rsid w:val="00150E59"/>
    <w:rsid w:val="00152DE3"/>
    <w:rsid w:val="00156C7C"/>
    <w:rsid w:val="00164CF9"/>
    <w:rsid w:val="001667A6"/>
    <w:rsid w:val="00184AD6"/>
    <w:rsid w:val="0019230F"/>
    <w:rsid w:val="001A4AF7"/>
    <w:rsid w:val="001B0349"/>
    <w:rsid w:val="001B1E93"/>
    <w:rsid w:val="001B65C1"/>
    <w:rsid w:val="001C684B"/>
    <w:rsid w:val="001D0CFB"/>
    <w:rsid w:val="001D21AF"/>
    <w:rsid w:val="001D53FC"/>
    <w:rsid w:val="001F42A5"/>
    <w:rsid w:val="001F7B9D"/>
    <w:rsid w:val="00200862"/>
    <w:rsid w:val="00201C93"/>
    <w:rsid w:val="002166AB"/>
    <w:rsid w:val="002224B4"/>
    <w:rsid w:val="002447EF"/>
    <w:rsid w:val="00251550"/>
    <w:rsid w:val="00263B05"/>
    <w:rsid w:val="0027221A"/>
    <w:rsid w:val="00275B61"/>
    <w:rsid w:val="00280FAF"/>
    <w:rsid w:val="00282656"/>
    <w:rsid w:val="00296B83"/>
    <w:rsid w:val="002B4015"/>
    <w:rsid w:val="002B78CE"/>
    <w:rsid w:val="002C2FB6"/>
    <w:rsid w:val="002D1E05"/>
    <w:rsid w:val="002E5FA7"/>
    <w:rsid w:val="002F3309"/>
    <w:rsid w:val="003008CE"/>
    <w:rsid w:val="003009B7"/>
    <w:rsid w:val="00300E56"/>
    <w:rsid w:val="0030152C"/>
    <w:rsid w:val="003018AE"/>
    <w:rsid w:val="0030469C"/>
    <w:rsid w:val="00321CA6"/>
    <w:rsid w:val="00323763"/>
    <w:rsid w:val="00323C5F"/>
    <w:rsid w:val="00334C09"/>
    <w:rsid w:val="003723D4"/>
    <w:rsid w:val="00381905"/>
    <w:rsid w:val="00384CC8"/>
    <w:rsid w:val="003871FD"/>
    <w:rsid w:val="00390B2C"/>
    <w:rsid w:val="003A1E30"/>
    <w:rsid w:val="003A2829"/>
    <w:rsid w:val="003A6A59"/>
    <w:rsid w:val="003A7D1C"/>
    <w:rsid w:val="003B304B"/>
    <w:rsid w:val="003B3146"/>
    <w:rsid w:val="003B410C"/>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90156"/>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57E00"/>
    <w:rsid w:val="00570C43"/>
    <w:rsid w:val="005B2110"/>
    <w:rsid w:val="005B61E6"/>
    <w:rsid w:val="005C0D36"/>
    <w:rsid w:val="005C77E1"/>
    <w:rsid w:val="005D668A"/>
    <w:rsid w:val="005D6A2F"/>
    <w:rsid w:val="005E1A82"/>
    <w:rsid w:val="005E794C"/>
    <w:rsid w:val="005F0A28"/>
    <w:rsid w:val="005F0E5E"/>
    <w:rsid w:val="005F174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6F715B"/>
    <w:rsid w:val="00705408"/>
    <w:rsid w:val="00707DD1"/>
    <w:rsid w:val="00713973"/>
    <w:rsid w:val="00720A24"/>
    <w:rsid w:val="00723449"/>
    <w:rsid w:val="00732386"/>
    <w:rsid w:val="0073514D"/>
    <w:rsid w:val="007447F3"/>
    <w:rsid w:val="0075499F"/>
    <w:rsid w:val="007661C8"/>
    <w:rsid w:val="0077098D"/>
    <w:rsid w:val="00783325"/>
    <w:rsid w:val="007931FA"/>
    <w:rsid w:val="00795105"/>
    <w:rsid w:val="007A4861"/>
    <w:rsid w:val="007A7BBA"/>
    <w:rsid w:val="007B0C21"/>
    <w:rsid w:val="007B0C50"/>
    <w:rsid w:val="007B48F9"/>
    <w:rsid w:val="007C1A43"/>
    <w:rsid w:val="007D0951"/>
    <w:rsid w:val="007D7DFC"/>
    <w:rsid w:val="0080013E"/>
    <w:rsid w:val="00813288"/>
    <w:rsid w:val="008168FC"/>
    <w:rsid w:val="00830996"/>
    <w:rsid w:val="008345F1"/>
    <w:rsid w:val="00845AC4"/>
    <w:rsid w:val="00865B07"/>
    <w:rsid w:val="008667EA"/>
    <w:rsid w:val="0087637F"/>
    <w:rsid w:val="00892AD5"/>
    <w:rsid w:val="008A1512"/>
    <w:rsid w:val="008C5A55"/>
    <w:rsid w:val="008D32B9"/>
    <w:rsid w:val="008D433B"/>
    <w:rsid w:val="008D4A16"/>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2379"/>
    <w:rsid w:val="00963E05"/>
    <w:rsid w:val="009644A8"/>
    <w:rsid w:val="00964A45"/>
    <w:rsid w:val="00967843"/>
    <w:rsid w:val="00967D54"/>
    <w:rsid w:val="00971028"/>
    <w:rsid w:val="00972E07"/>
    <w:rsid w:val="009740AF"/>
    <w:rsid w:val="00993B84"/>
    <w:rsid w:val="009947CA"/>
    <w:rsid w:val="00996483"/>
    <w:rsid w:val="00996F5A"/>
    <w:rsid w:val="009B041A"/>
    <w:rsid w:val="009B6D07"/>
    <w:rsid w:val="009C37C3"/>
    <w:rsid w:val="009C7C86"/>
    <w:rsid w:val="009D2FF7"/>
    <w:rsid w:val="009E7884"/>
    <w:rsid w:val="009E788A"/>
    <w:rsid w:val="009F0E08"/>
    <w:rsid w:val="00A15DD7"/>
    <w:rsid w:val="00A16514"/>
    <w:rsid w:val="00A1763D"/>
    <w:rsid w:val="00A17CEC"/>
    <w:rsid w:val="00A27EF0"/>
    <w:rsid w:val="00A42361"/>
    <w:rsid w:val="00A50B20"/>
    <w:rsid w:val="00A51390"/>
    <w:rsid w:val="00A5347C"/>
    <w:rsid w:val="00A60D13"/>
    <w:rsid w:val="00A7223D"/>
    <w:rsid w:val="00A72745"/>
    <w:rsid w:val="00A76EFC"/>
    <w:rsid w:val="00A87D50"/>
    <w:rsid w:val="00A91010"/>
    <w:rsid w:val="00A97F29"/>
    <w:rsid w:val="00AA702E"/>
    <w:rsid w:val="00AA7D26"/>
    <w:rsid w:val="00AB0964"/>
    <w:rsid w:val="00AB5011"/>
    <w:rsid w:val="00AC7368"/>
    <w:rsid w:val="00AD16B9"/>
    <w:rsid w:val="00AE162E"/>
    <w:rsid w:val="00AE377D"/>
    <w:rsid w:val="00AF0EBA"/>
    <w:rsid w:val="00B02C8A"/>
    <w:rsid w:val="00B17FBD"/>
    <w:rsid w:val="00B20387"/>
    <w:rsid w:val="00B315A6"/>
    <w:rsid w:val="00B31813"/>
    <w:rsid w:val="00B33365"/>
    <w:rsid w:val="00B52A72"/>
    <w:rsid w:val="00B57B36"/>
    <w:rsid w:val="00B57E6F"/>
    <w:rsid w:val="00B8686D"/>
    <w:rsid w:val="00B93F69"/>
    <w:rsid w:val="00BB1DDC"/>
    <w:rsid w:val="00BC01B1"/>
    <w:rsid w:val="00BC30C9"/>
    <w:rsid w:val="00BD077D"/>
    <w:rsid w:val="00BE05ED"/>
    <w:rsid w:val="00BE3E58"/>
    <w:rsid w:val="00C01616"/>
    <w:rsid w:val="00C0162B"/>
    <w:rsid w:val="00C066DB"/>
    <w:rsid w:val="00C068ED"/>
    <w:rsid w:val="00C22E0C"/>
    <w:rsid w:val="00C345B1"/>
    <w:rsid w:val="00C40142"/>
    <w:rsid w:val="00C52C3C"/>
    <w:rsid w:val="00C54D39"/>
    <w:rsid w:val="00C57182"/>
    <w:rsid w:val="00C57863"/>
    <w:rsid w:val="00C640AF"/>
    <w:rsid w:val="00C655FD"/>
    <w:rsid w:val="00C75407"/>
    <w:rsid w:val="00C841C6"/>
    <w:rsid w:val="00C870A8"/>
    <w:rsid w:val="00C91F7D"/>
    <w:rsid w:val="00C94434"/>
    <w:rsid w:val="00C966CF"/>
    <w:rsid w:val="00CA0D75"/>
    <w:rsid w:val="00CA1C95"/>
    <w:rsid w:val="00CA5A9C"/>
    <w:rsid w:val="00CC4C20"/>
    <w:rsid w:val="00CD3517"/>
    <w:rsid w:val="00CD5FE2"/>
    <w:rsid w:val="00CE6140"/>
    <w:rsid w:val="00CE7C68"/>
    <w:rsid w:val="00CF0FCA"/>
    <w:rsid w:val="00D02B4C"/>
    <w:rsid w:val="00D040C4"/>
    <w:rsid w:val="00D20AD1"/>
    <w:rsid w:val="00D2582C"/>
    <w:rsid w:val="00D46B7E"/>
    <w:rsid w:val="00D57C84"/>
    <w:rsid w:val="00D6057D"/>
    <w:rsid w:val="00D71640"/>
    <w:rsid w:val="00D820AC"/>
    <w:rsid w:val="00D836C5"/>
    <w:rsid w:val="00D84576"/>
    <w:rsid w:val="00D857CC"/>
    <w:rsid w:val="00DA1399"/>
    <w:rsid w:val="00DA24C6"/>
    <w:rsid w:val="00DA4D7B"/>
    <w:rsid w:val="00DD271C"/>
    <w:rsid w:val="00DD4671"/>
    <w:rsid w:val="00DE264A"/>
    <w:rsid w:val="00DF5072"/>
    <w:rsid w:val="00E02D18"/>
    <w:rsid w:val="00E041E7"/>
    <w:rsid w:val="00E04277"/>
    <w:rsid w:val="00E160CF"/>
    <w:rsid w:val="00E23CA1"/>
    <w:rsid w:val="00E409A8"/>
    <w:rsid w:val="00E454FB"/>
    <w:rsid w:val="00E50C12"/>
    <w:rsid w:val="00E65B91"/>
    <w:rsid w:val="00E7209D"/>
    <w:rsid w:val="00E72EAD"/>
    <w:rsid w:val="00E77223"/>
    <w:rsid w:val="00E77CD4"/>
    <w:rsid w:val="00E8528B"/>
    <w:rsid w:val="00E85B94"/>
    <w:rsid w:val="00E978D0"/>
    <w:rsid w:val="00EA4613"/>
    <w:rsid w:val="00EA7F91"/>
    <w:rsid w:val="00EB1523"/>
    <w:rsid w:val="00EC0E49"/>
    <w:rsid w:val="00EC101F"/>
    <w:rsid w:val="00EC1D9F"/>
    <w:rsid w:val="00EE0131"/>
    <w:rsid w:val="00EE17B0"/>
    <w:rsid w:val="00EE6ADB"/>
    <w:rsid w:val="00EF06D9"/>
    <w:rsid w:val="00F278CF"/>
    <w:rsid w:val="00F3049E"/>
    <w:rsid w:val="00F30C64"/>
    <w:rsid w:val="00F32BA2"/>
    <w:rsid w:val="00F32CDB"/>
    <w:rsid w:val="00F361FB"/>
    <w:rsid w:val="00F37CC6"/>
    <w:rsid w:val="00F565FE"/>
    <w:rsid w:val="00F63A70"/>
    <w:rsid w:val="00F63D8C"/>
    <w:rsid w:val="00F73DA3"/>
    <w:rsid w:val="00F7534E"/>
    <w:rsid w:val="00F85773"/>
    <w:rsid w:val="00F93829"/>
    <w:rsid w:val="00F93EDF"/>
    <w:rsid w:val="00FA1802"/>
    <w:rsid w:val="00FA21D0"/>
    <w:rsid w:val="00FA5F5F"/>
    <w:rsid w:val="00FB730C"/>
    <w:rsid w:val="00FB7340"/>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table" w:customStyle="1" w:styleId="TableGrid1">
    <w:name w:val="Table Grid1"/>
    <w:basedOn w:val="TableNormal"/>
    <w:next w:val="TableGrid"/>
    <w:uiPriority w:val="39"/>
    <w:rsid w:val="00E454FB"/>
    <w:pPr>
      <w:spacing w:after="0" w:line="240" w:lineRule="auto"/>
    </w:pPr>
    <w:rPr>
      <w:rFonts w:ascii="Calibri" w:eastAsia="Calibri"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7CD4"/>
    <w:rPr>
      <w:color w:val="605E5C"/>
      <w:shd w:val="clear" w:color="auto" w:fill="E1DFDD"/>
    </w:rPr>
  </w:style>
  <w:style w:type="paragraph" w:styleId="NoSpacing">
    <w:name w:val="No Spacing"/>
    <w:uiPriority w:val="1"/>
    <w:qFormat/>
    <w:rsid w:val="00E77CD4"/>
    <w:pPr>
      <w:tabs>
        <w:tab w:val="right" w:pos="7100"/>
      </w:tabs>
      <w:spacing w:after="0" w:line="240" w:lineRule="auto"/>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227">
      <w:bodyDiv w:val="1"/>
      <w:marLeft w:val="0"/>
      <w:marRight w:val="0"/>
      <w:marTop w:val="0"/>
      <w:marBottom w:val="0"/>
      <w:divBdr>
        <w:top w:val="none" w:sz="0" w:space="0" w:color="auto"/>
        <w:left w:val="none" w:sz="0" w:space="0" w:color="auto"/>
        <w:bottom w:val="none" w:sz="0" w:space="0" w:color="auto"/>
        <w:right w:val="none" w:sz="0" w:space="0" w:color="auto"/>
      </w:divBdr>
    </w:div>
    <w:div w:id="107035026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8597386">
      <w:bodyDiv w:val="1"/>
      <w:marLeft w:val="0"/>
      <w:marRight w:val="0"/>
      <w:marTop w:val="0"/>
      <w:marBottom w:val="0"/>
      <w:divBdr>
        <w:top w:val="none" w:sz="0" w:space="0" w:color="auto"/>
        <w:left w:val="none" w:sz="0" w:space="0" w:color="auto"/>
        <w:bottom w:val="none" w:sz="0" w:space="0" w:color="auto"/>
        <w:right w:val="none" w:sz="0" w:space="0" w:color="auto"/>
      </w:divBdr>
    </w:div>
    <w:div w:id="146881528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4631">
      <w:bodyDiv w:val="1"/>
      <w:marLeft w:val="0"/>
      <w:marRight w:val="0"/>
      <w:marTop w:val="0"/>
      <w:marBottom w:val="0"/>
      <w:divBdr>
        <w:top w:val="none" w:sz="0" w:space="0" w:color="auto"/>
        <w:left w:val="none" w:sz="0" w:space="0" w:color="auto"/>
        <w:bottom w:val="none" w:sz="0" w:space="0" w:color="auto"/>
        <w:right w:val="none" w:sz="0" w:space="0" w:color="auto"/>
      </w:divBdr>
    </w:div>
    <w:div w:id="204035585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3082</Words>
  <Characters>17573</Characters>
  <Application>Microsoft Office Word</Application>
  <DocSecurity>0</DocSecurity>
  <Lines>146</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Boitumelo Mashangoane</cp:lastModifiedBy>
  <cp:revision>2</cp:revision>
  <cp:lastPrinted>2015-05-12T18:31:00Z</cp:lastPrinted>
  <dcterms:created xsi:type="dcterms:W3CDTF">2023-02-17T20:03:00Z</dcterms:created>
  <dcterms:modified xsi:type="dcterms:W3CDTF">2023-02-17T20:03:00Z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